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23C" w:rsidRPr="00ED623C" w:rsidRDefault="00ED623C" w:rsidP="00ED623C">
      <w:pPr>
        <w:jc w:val="center"/>
        <w:rPr>
          <w:rFonts w:ascii="仿宋" w:eastAsia="仿宋" w:hAnsi="仿宋" w:cs="仿宋"/>
          <w:b/>
          <w:bCs/>
          <w:sz w:val="44"/>
          <w:szCs w:val="44"/>
        </w:rPr>
      </w:pPr>
    </w:p>
    <w:p w:rsidR="00ED623C" w:rsidRPr="00ED623C" w:rsidRDefault="00ED623C" w:rsidP="00ED623C">
      <w:pPr>
        <w:tabs>
          <w:tab w:val="left" w:pos="6855"/>
        </w:tabs>
        <w:jc w:val="left"/>
        <w:rPr>
          <w:rFonts w:ascii="仿宋" w:eastAsia="仿宋" w:hAnsi="仿宋" w:cs="仿宋"/>
          <w:b/>
          <w:bCs/>
          <w:sz w:val="44"/>
          <w:szCs w:val="44"/>
        </w:rPr>
      </w:pPr>
      <w:r>
        <w:rPr>
          <w:rFonts w:ascii="仿宋" w:eastAsia="仿宋" w:hAnsi="仿宋" w:cs="仿宋"/>
          <w:b/>
          <w:bCs/>
          <w:sz w:val="44"/>
          <w:szCs w:val="44"/>
        </w:rPr>
        <w:tab/>
      </w:r>
    </w:p>
    <w:p w:rsidR="00ED623C" w:rsidRPr="00ED623C" w:rsidRDefault="00ED623C" w:rsidP="00ED623C">
      <w:pPr>
        <w:jc w:val="center"/>
        <w:rPr>
          <w:rFonts w:ascii="仿宋" w:eastAsia="仿宋" w:hAnsi="仿宋" w:cs="仿宋"/>
          <w:b/>
          <w:bCs/>
          <w:sz w:val="44"/>
          <w:szCs w:val="44"/>
        </w:rPr>
      </w:pPr>
    </w:p>
    <w:p w:rsidR="00ED623C" w:rsidRPr="00ED623C" w:rsidRDefault="00ED623C" w:rsidP="00ED623C">
      <w:pPr>
        <w:jc w:val="center"/>
        <w:rPr>
          <w:rFonts w:ascii="仿宋" w:eastAsia="仿宋" w:hAnsi="仿宋" w:cs="仿宋"/>
          <w:b/>
          <w:bCs/>
          <w:sz w:val="40"/>
          <w:szCs w:val="36"/>
        </w:rPr>
      </w:pPr>
      <w:r w:rsidRPr="00ED623C">
        <w:rPr>
          <w:rFonts w:ascii="仿宋" w:eastAsia="仿宋" w:hAnsi="仿宋" w:cs="仿宋" w:hint="eastAsia"/>
          <w:b/>
          <w:bCs/>
          <w:sz w:val="40"/>
          <w:szCs w:val="36"/>
        </w:rPr>
        <w:t>安全生产风险分级管控体系和隐患排查治理</w:t>
      </w:r>
    </w:p>
    <w:p w:rsidR="00ED623C" w:rsidRPr="00ED623C" w:rsidRDefault="00ED623C" w:rsidP="00ED623C">
      <w:pPr>
        <w:jc w:val="center"/>
        <w:rPr>
          <w:rFonts w:ascii="仿宋" w:eastAsia="仿宋" w:hAnsi="仿宋" w:cs="仿宋"/>
          <w:b/>
          <w:bCs/>
          <w:sz w:val="40"/>
          <w:szCs w:val="36"/>
        </w:rPr>
      </w:pPr>
    </w:p>
    <w:p w:rsidR="00ED623C" w:rsidRPr="00ED623C" w:rsidRDefault="00ED623C" w:rsidP="00ED623C">
      <w:pPr>
        <w:jc w:val="center"/>
        <w:rPr>
          <w:rFonts w:ascii="仿宋" w:eastAsia="仿宋" w:hAnsi="仿宋" w:cs="仿宋"/>
          <w:b/>
          <w:bCs/>
          <w:sz w:val="40"/>
          <w:szCs w:val="36"/>
        </w:rPr>
      </w:pPr>
      <w:r w:rsidRPr="00ED623C">
        <w:rPr>
          <w:rFonts w:ascii="仿宋" w:eastAsia="仿宋" w:hAnsi="仿宋" w:cs="仿宋" w:hint="eastAsia"/>
          <w:b/>
          <w:bCs/>
          <w:sz w:val="40"/>
          <w:szCs w:val="36"/>
        </w:rPr>
        <w:t>双重预防体系建设实施细则</w:t>
      </w:r>
    </w:p>
    <w:p w:rsidR="00ED623C" w:rsidRPr="00ED623C" w:rsidRDefault="00ED623C" w:rsidP="00ED623C">
      <w:pPr>
        <w:jc w:val="center"/>
        <w:rPr>
          <w:rFonts w:ascii="仿宋" w:eastAsia="仿宋" w:hAnsi="仿宋" w:cs="仿宋"/>
          <w:b/>
          <w:bCs/>
          <w:sz w:val="44"/>
          <w:szCs w:val="44"/>
        </w:rPr>
      </w:pPr>
    </w:p>
    <w:p w:rsidR="00ED623C" w:rsidRPr="00ED623C" w:rsidRDefault="00ED623C" w:rsidP="00ED623C">
      <w:pPr>
        <w:jc w:val="center"/>
        <w:rPr>
          <w:rFonts w:ascii="仿宋" w:eastAsia="仿宋" w:hAnsi="仿宋" w:cs="仿宋"/>
          <w:b/>
          <w:bCs/>
          <w:sz w:val="44"/>
          <w:szCs w:val="44"/>
        </w:rPr>
      </w:pPr>
    </w:p>
    <w:p w:rsidR="00ED623C" w:rsidRPr="00ED623C" w:rsidRDefault="00ED623C" w:rsidP="00ED623C">
      <w:pPr>
        <w:jc w:val="center"/>
        <w:rPr>
          <w:rFonts w:ascii="仿宋" w:eastAsia="仿宋" w:hAnsi="仿宋" w:cs="仿宋"/>
          <w:b/>
          <w:bCs/>
          <w:sz w:val="36"/>
          <w:szCs w:val="36"/>
        </w:rPr>
      </w:pPr>
    </w:p>
    <w:p w:rsidR="00ED623C" w:rsidRPr="00ED623C" w:rsidRDefault="00ED623C" w:rsidP="00ED623C">
      <w:pPr>
        <w:jc w:val="center"/>
        <w:rPr>
          <w:rFonts w:ascii="仿宋" w:eastAsia="仿宋" w:hAnsi="仿宋" w:cs="仿宋"/>
          <w:b/>
          <w:bCs/>
          <w:sz w:val="36"/>
          <w:szCs w:val="36"/>
        </w:rPr>
      </w:pPr>
    </w:p>
    <w:p w:rsidR="00ED623C" w:rsidRPr="00ED623C" w:rsidRDefault="00ED623C" w:rsidP="00ED623C">
      <w:pPr>
        <w:jc w:val="center"/>
        <w:rPr>
          <w:rFonts w:ascii="仿宋" w:eastAsia="仿宋" w:hAnsi="仿宋" w:cs="仿宋"/>
          <w:b/>
          <w:bCs/>
          <w:sz w:val="32"/>
          <w:szCs w:val="36"/>
        </w:rPr>
      </w:pPr>
    </w:p>
    <w:p w:rsidR="00ED623C" w:rsidRPr="00ED623C" w:rsidRDefault="00ED623C" w:rsidP="00ED623C">
      <w:pPr>
        <w:widowControl/>
        <w:adjustRightInd w:val="0"/>
        <w:snapToGrid w:val="0"/>
        <w:spacing w:after="160"/>
        <w:ind w:firstLine="723"/>
        <w:jc w:val="left"/>
        <w:rPr>
          <w:rFonts w:ascii="仿宋" w:eastAsia="仿宋" w:hAnsi="仿宋" w:cs="宋体"/>
          <w:b/>
          <w:bCs/>
          <w:sz w:val="32"/>
          <w:szCs w:val="36"/>
          <w:u w:val="single"/>
        </w:rPr>
      </w:pPr>
      <w:r w:rsidRPr="00ED623C">
        <w:rPr>
          <w:rFonts w:ascii="仿宋" w:eastAsia="仿宋" w:hAnsi="仿宋" w:cs="宋体" w:hint="eastAsia"/>
          <w:b/>
          <w:bCs/>
          <w:sz w:val="32"/>
          <w:szCs w:val="36"/>
        </w:rPr>
        <w:t xml:space="preserve">         编制：</w:t>
      </w:r>
      <w:r w:rsidRPr="00ED623C">
        <w:rPr>
          <w:rFonts w:ascii="仿宋" w:eastAsia="仿宋" w:hAnsi="仿宋" w:cs="宋体" w:hint="eastAsia"/>
          <w:b/>
          <w:bCs/>
          <w:sz w:val="32"/>
          <w:szCs w:val="36"/>
          <w:u w:val="single"/>
        </w:rPr>
        <w:t xml:space="preserve">           </w:t>
      </w:r>
    </w:p>
    <w:p w:rsidR="00ED623C" w:rsidRPr="00ED623C" w:rsidRDefault="00ED623C" w:rsidP="00ED623C">
      <w:pPr>
        <w:widowControl/>
        <w:adjustRightInd w:val="0"/>
        <w:snapToGrid w:val="0"/>
        <w:spacing w:after="160"/>
        <w:ind w:firstLine="723"/>
        <w:jc w:val="left"/>
        <w:rPr>
          <w:rFonts w:ascii="仿宋" w:eastAsia="仿宋" w:hAnsi="仿宋" w:cs="宋体"/>
          <w:b/>
          <w:bCs/>
          <w:sz w:val="32"/>
          <w:szCs w:val="36"/>
          <w:u w:val="single"/>
        </w:rPr>
      </w:pPr>
      <w:r w:rsidRPr="00ED623C">
        <w:rPr>
          <w:rFonts w:ascii="仿宋" w:eastAsia="仿宋" w:hAnsi="仿宋" w:cs="宋体" w:hint="eastAsia"/>
          <w:b/>
          <w:bCs/>
          <w:sz w:val="32"/>
          <w:szCs w:val="36"/>
        </w:rPr>
        <w:t xml:space="preserve">         审核：</w:t>
      </w:r>
      <w:r w:rsidRPr="00ED623C">
        <w:rPr>
          <w:rFonts w:ascii="仿宋" w:eastAsia="仿宋" w:hAnsi="仿宋" w:cs="宋体" w:hint="eastAsia"/>
          <w:b/>
          <w:bCs/>
          <w:sz w:val="32"/>
          <w:szCs w:val="36"/>
          <w:u w:val="single"/>
        </w:rPr>
        <w:t xml:space="preserve">           </w:t>
      </w:r>
    </w:p>
    <w:p w:rsidR="00ED623C" w:rsidRPr="00ED623C" w:rsidRDefault="00ED623C" w:rsidP="00ED623C">
      <w:pPr>
        <w:widowControl/>
        <w:adjustRightInd w:val="0"/>
        <w:snapToGrid w:val="0"/>
        <w:spacing w:after="160"/>
        <w:ind w:firstLine="723"/>
        <w:jc w:val="left"/>
        <w:rPr>
          <w:rFonts w:ascii="仿宋" w:eastAsia="仿宋" w:hAnsi="仿宋" w:cs="宋体"/>
          <w:b/>
          <w:bCs/>
          <w:sz w:val="32"/>
          <w:szCs w:val="36"/>
          <w:u w:val="single"/>
        </w:rPr>
      </w:pPr>
      <w:r w:rsidRPr="00ED623C">
        <w:rPr>
          <w:rFonts w:ascii="仿宋" w:eastAsia="仿宋" w:hAnsi="仿宋" w:cs="宋体" w:hint="eastAsia"/>
          <w:b/>
          <w:bCs/>
          <w:sz w:val="32"/>
          <w:szCs w:val="36"/>
        </w:rPr>
        <w:t xml:space="preserve">         批准: </w:t>
      </w:r>
      <w:r w:rsidRPr="00ED623C">
        <w:rPr>
          <w:rFonts w:ascii="仿宋" w:eastAsia="仿宋" w:hAnsi="仿宋" w:cs="宋体" w:hint="eastAsia"/>
          <w:b/>
          <w:bCs/>
          <w:sz w:val="32"/>
          <w:szCs w:val="36"/>
          <w:u w:val="single"/>
        </w:rPr>
        <w:t xml:space="preserve">           </w:t>
      </w:r>
    </w:p>
    <w:p w:rsidR="00ED623C" w:rsidRPr="00ED623C" w:rsidRDefault="00ED623C" w:rsidP="00ED623C">
      <w:pPr>
        <w:jc w:val="center"/>
        <w:rPr>
          <w:rFonts w:ascii="仿宋" w:eastAsia="仿宋" w:hAnsi="仿宋" w:cs="仿宋"/>
          <w:b/>
          <w:bCs/>
          <w:sz w:val="36"/>
          <w:szCs w:val="36"/>
        </w:rPr>
      </w:pPr>
    </w:p>
    <w:p w:rsidR="00ED623C" w:rsidRPr="00ED623C" w:rsidRDefault="00ED623C" w:rsidP="00ED623C">
      <w:pPr>
        <w:rPr>
          <w:rFonts w:ascii="仿宋" w:eastAsia="仿宋" w:hAnsi="仿宋" w:cs="仿宋"/>
          <w:b/>
          <w:bCs/>
          <w:sz w:val="36"/>
          <w:szCs w:val="36"/>
        </w:rPr>
      </w:pPr>
    </w:p>
    <w:p w:rsidR="00ED623C" w:rsidRPr="00ED623C" w:rsidRDefault="00ED623C" w:rsidP="00ED623C">
      <w:pPr>
        <w:jc w:val="center"/>
        <w:rPr>
          <w:rFonts w:ascii="仿宋" w:eastAsia="仿宋" w:hAnsi="仿宋" w:cs="仿宋"/>
          <w:sz w:val="36"/>
          <w:szCs w:val="36"/>
        </w:rPr>
      </w:pPr>
    </w:p>
    <w:p w:rsidR="00ED623C" w:rsidRPr="00ED623C" w:rsidRDefault="00ED623C" w:rsidP="00ED623C">
      <w:pPr>
        <w:jc w:val="center"/>
        <w:rPr>
          <w:rFonts w:ascii="仿宋" w:eastAsia="仿宋" w:hAnsi="仿宋" w:cs="仿宋"/>
          <w:sz w:val="36"/>
          <w:szCs w:val="36"/>
        </w:rPr>
      </w:pPr>
      <w:r w:rsidRPr="00ED623C">
        <w:rPr>
          <w:rFonts w:ascii="仿宋" w:eastAsia="仿宋" w:hAnsi="仿宋" w:cs="仿宋" w:hint="eastAsia"/>
          <w:sz w:val="36"/>
          <w:szCs w:val="36"/>
        </w:rPr>
        <w:t>二0二0年一月一日</w:t>
      </w:r>
    </w:p>
    <w:p w:rsidR="00ED623C" w:rsidRPr="00ED623C" w:rsidRDefault="00ED623C" w:rsidP="00ED623C">
      <w:pPr>
        <w:rPr>
          <w:rFonts w:ascii="Calibri" w:eastAsia="宋体" w:hAnsi="Calibri" w:cs="Times New Roman"/>
          <w:szCs w:val="24"/>
        </w:rPr>
      </w:pPr>
    </w:p>
    <w:p w:rsidR="00ED623C" w:rsidRPr="00ED623C" w:rsidRDefault="00ED623C" w:rsidP="00ED623C">
      <w:pPr>
        <w:rPr>
          <w:rFonts w:ascii="Calibri" w:eastAsia="宋体" w:hAnsi="Calibri" w:cs="Times New Roman"/>
          <w:szCs w:val="24"/>
        </w:rPr>
      </w:pPr>
    </w:p>
    <w:p w:rsidR="00ED623C" w:rsidRPr="00ED623C" w:rsidRDefault="00ED623C" w:rsidP="00ED623C">
      <w:pPr>
        <w:rPr>
          <w:rFonts w:ascii="Calibri" w:eastAsia="宋体" w:hAnsi="Calibri" w:cs="Times New Roman"/>
          <w:szCs w:val="24"/>
        </w:rPr>
      </w:pPr>
    </w:p>
    <w:p w:rsidR="00ED623C" w:rsidRPr="00ED623C" w:rsidRDefault="00ED623C" w:rsidP="00ED623C">
      <w:pPr>
        <w:rPr>
          <w:rFonts w:ascii="Calibri" w:eastAsia="宋体" w:hAnsi="Calibri" w:cs="Times New Roman"/>
          <w:szCs w:val="24"/>
        </w:rPr>
      </w:pPr>
    </w:p>
    <w:p w:rsidR="00ED623C" w:rsidRPr="00ED623C" w:rsidRDefault="00ED623C" w:rsidP="00ED623C">
      <w:pPr>
        <w:rPr>
          <w:rFonts w:ascii="Calibri" w:eastAsia="宋体" w:hAnsi="Calibri" w:cs="Times New Roman"/>
          <w:szCs w:val="24"/>
        </w:rPr>
      </w:pPr>
    </w:p>
    <w:p w:rsidR="00ED623C" w:rsidRPr="00ED623C" w:rsidRDefault="00ED623C" w:rsidP="00ED623C">
      <w:pPr>
        <w:rPr>
          <w:rFonts w:ascii="Calibri" w:eastAsia="宋体" w:hAnsi="Calibri" w:cs="Times New Roman"/>
          <w:szCs w:val="24"/>
        </w:rPr>
      </w:pPr>
    </w:p>
    <w:p w:rsidR="00ED623C" w:rsidRPr="00ED623C" w:rsidRDefault="00ED623C" w:rsidP="00ED623C">
      <w:pPr>
        <w:rPr>
          <w:rFonts w:ascii="Calibri" w:eastAsia="宋体" w:hAnsi="Calibri" w:cs="Times New Roman"/>
          <w:szCs w:val="24"/>
        </w:rPr>
      </w:pPr>
    </w:p>
    <w:p w:rsidR="00ED623C" w:rsidRPr="00ED623C" w:rsidRDefault="00ED623C" w:rsidP="00ED623C">
      <w:pPr>
        <w:widowControl/>
        <w:jc w:val="left"/>
        <w:rPr>
          <w:rFonts w:ascii="仿宋" w:eastAsia="仿宋" w:hAnsi="仿宋" w:cs="仿宋"/>
          <w:b/>
          <w:bCs/>
          <w:sz w:val="44"/>
          <w:szCs w:val="44"/>
        </w:rPr>
        <w:sectPr w:rsidR="00ED623C" w:rsidRPr="00ED623C" w:rsidSect="00ED623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cols w:space="720"/>
          <w:docGrid w:type="lines" w:linePitch="312"/>
        </w:sectPr>
      </w:pPr>
    </w:p>
    <w:p w:rsidR="00ED623C" w:rsidRPr="00ED623C" w:rsidRDefault="00ED623C" w:rsidP="00ED623C">
      <w:pPr>
        <w:jc w:val="center"/>
        <w:rPr>
          <w:rFonts w:ascii="仿宋" w:eastAsia="仿宋" w:hAnsi="仿宋" w:cs="仿宋"/>
          <w:b/>
          <w:bCs/>
          <w:sz w:val="44"/>
          <w:szCs w:val="44"/>
        </w:rPr>
      </w:pPr>
      <w:r w:rsidRPr="00ED623C">
        <w:rPr>
          <w:rFonts w:ascii="仿宋" w:eastAsia="仿宋" w:hAnsi="仿宋" w:cs="仿宋" w:hint="eastAsia"/>
          <w:b/>
          <w:bCs/>
          <w:sz w:val="44"/>
          <w:szCs w:val="44"/>
        </w:rPr>
        <w:lastRenderedPageBreak/>
        <w:t>目  录</w:t>
      </w:r>
    </w:p>
    <w:p w:rsidR="00ED623C" w:rsidRPr="00ED623C" w:rsidRDefault="00AF402D" w:rsidP="00ED623C">
      <w:pPr>
        <w:tabs>
          <w:tab w:val="right" w:leader="dot" w:pos="9208"/>
        </w:tabs>
        <w:spacing w:line="276" w:lineRule="auto"/>
        <w:jc w:val="left"/>
        <w:rPr>
          <w:rFonts w:ascii="Calibri" w:eastAsia="宋体" w:hAnsi="Calibri" w:cs="Times New Roman"/>
          <w:sz w:val="24"/>
          <w:szCs w:val="24"/>
        </w:rPr>
      </w:pPr>
      <w:r w:rsidRPr="00ED623C">
        <w:rPr>
          <w:rFonts w:ascii="仿宋" w:eastAsia="仿宋" w:hAnsi="仿宋" w:cs="仿宋" w:hint="eastAsia"/>
          <w:b/>
          <w:bCs/>
          <w:sz w:val="24"/>
          <w:szCs w:val="24"/>
        </w:rPr>
        <w:fldChar w:fldCharType="begin"/>
      </w:r>
      <w:r w:rsidR="00ED623C" w:rsidRPr="00ED623C">
        <w:rPr>
          <w:rFonts w:ascii="仿宋" w:eastAsia="仿宋" w:hAnsi="仿宋" w:cs="仿宋" w:hint="eastAsia"/>
          <w:b/>
          <w:bCs/>
          <w:sz w:val="24"/>
          <w:szCs w:val="24"/>
        </w:rPr>
        <w:instrText xml:space="preserve">TOC \o "1-3" \h \u </w:instrText>
      </w:r>
      <w:r w:rsidRPr="00ED623C">
        <w:rPr>
          <w:rFonts w:ascii="仿宋" w:eastAsia="仿宋" w:hAnsi="仿宋" w:cs="仿宋" w:hint="eastAsia"/>
          <w:b/>
          <w:bCs/>
          <w:sz w:val="24"/>
          <w:szCs w:val="24"/>
        </w:rPr>
        <w:fldChar w:fldCharType="separate"/>
      </w:r>
      <w:hyperlink r:id="rId13" w:anchor="_Toc14225" w:history="1">
        <w:r w:rsidR="00ED623C" w:rsidRPr="00ED623C">
          <w:rPr>
            <w:rFonts w:ascii="Calibri" w:eastAsia="宋体" w:hAnsi="Calibri" w:cs="Times New Roman" w:hint="eastAsia"/>
            <w:color w:val="0000FF"/>
            <w:sz w:val="24"/>
            <w:szCs w:val="24"/>
            <w:u w:val="single"/>
          </w:rPr>
          <w:t>第一部分：专业术语</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_Toc14225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2</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jc w:val="left"/>
        <w:rPr>
          <w:rFonts w:ascii="Calibri" w:eastAsia="宋体" w:hAnsi="Calibri" w:cs="Times New Roman"/>
          <w:sz w:val="24"/>
          <w:szCs w:val="24"/>
        </w:rPr>
      </w:pPr>
      <w:hyperlink r:id="rId14" w:anchor="_Toc11899" w:history="1">
        <w:r w:rsidR="00ED623C" w:rsidRPr="00ED623C">
          <w:rPr>
            <w:rFonts w:ascii="Calibri" w:eastAsia="宋体" w:hAnsi="Calibri" w:cs="Times New Roman" w:hint="eastAsia"/>
            <w:color w:val="0000FF"/>
            <w:sz w:val="24"/>
            <w:szCs w:val="24"/>
            <w:u w:val="single"/>
          </w:rPr>
          <w:t>第二部分：双重预防体系构建与运行</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_Toc11899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8</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200" w:left="420"/>
        <w:jc w:val="left"/>
        <w:rPr>
          <w:rFonts w:ascii="Calibri" w:eastAsia="宋体" w:hAnsi="Calibri" w:cs="Times New Roman"/>
          <w:sz w:val="24"/>
          <w:szCs w:val="24"/>
        </w:rPr>
      </w:pPr>
      <w:hyperlink r:id="rId15" w:anchor="_Toc22731" w:history="1">
        <w:r w:rsidR="00ED623C" w:rsidRPr="00ED623C">
          <w:rPr>
            <w:rFonts w:ascii="Calibri" w:eastAsia="宋体" w:hAnsi="Calibri" w:cs="Times New Roman" w:hint="eastAsia"/>
            <w:color w:val="0000FF"/>
            <w:sz w:val="24"/>
            <w:szCs w:val="24"/>
            <w:u w:val="single"/>
          </w:rPr>
          <w:t>一、成立组织机构</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_Toc22731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8</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200" w:left="420"/>
        <w:jc w:val="left"/>
        <w:rPr>
          <w:rFonts w:ascii="Calibri" w:eastAsia="宋体" w:hAnsi="Calibri" w:cs="Times New Roman"/>
          <w:sz w:val="24"/>
          <w:szCs w:val="24"/>
        </w:rPr>
      </w:pPr>
      <w:hyperlink r:id="rId16" w:anchor="_Toc999" w:history="1">
        <w:r w:rsidR="00ED623C" w:rsidRPr="00ED623C">
          <w:rPr>
            <w:rFonts w:ascii="Calibri" w:eastAsia="宋体" w:hAnsi="Calibri" w:cs="Times New Roman" w:hint="eastAsia"/>
            <w:color w:val="0000FF"/>
            <w:sz w:val="24"/>
            <w:szCs w:val="24"/>
            <w:u w:val="single"/>
          </w:rPr>
          <w:t>二、双重预防体系文件</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_Toc999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9</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17" w:anchor="_Toc16095" w:history="1">
        <w:r w:rsidR="00ED623C" w:rsidRPr="00ED623C">
          <w:rPr>
            <w:rFonts w:ascii="Calibri" w:eastAsia="宋体" w:hAnsi="Calibri" w:cs="Times New Roman" w:hint="eastAsia"/>
            <w:color w:val="0000FF"/>
            <w:sz w:val="24"/>
            <w:szCs w:val="24"/>
            <w:u w:val="single"/>
          </w:rPr>
          <w:t>（</w:t>
        </w:r>
        <w:r w:rsidR="00ED623C" w:rsidRPr="00ED623C">
          <w:rPr>
            <w:rFonts w:ascii="Calibri" w:eastAsia="宋体" w:hAnsi="Calibri" w:cs="Times New Roman"/>
            <w:color w:val="0000FF"/>
            <w:sz w:val="24"/>
            <w:szCs w:val="24"/>
            <w:u w:val="single"/>
          </w:rPr>
          <w:t>1</w:t>
        </w:r>
        <w:r w:rsidR="00ED623C" w:rsidRPr="00ED623C">
          <w:rPr>
            <w:rFonts w:ascii="Calibri" w:eastAsia="宋体" w:hAnsi="Calibri" w:cs="Times New Roman" w:hint="eastAsia"/>
            <w:color w:val="0000FF"/>
            <w:sz w:val="24"/>
            <w:szCs w:val="24"/>
            <w:u w:val="single"/>
          </w:rPr>
          <w:t>）手册</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_Toc16095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9</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18" w:anchor="_Toc27072" w:history="1">
        <w:r w:rsidR="00ED623C" w:rsidRPr="00ED623C">
          <w:rPr>
            <w:rFonts w:ascii="Calibri" w:eastAsia="宋体" w:hAnsi="Calibri" w:cs="Times New Roman" w:hint="eastAsia"/>
            <w:color w:val="0000FF"/>
            <w:sz w:val="24"/>
            <w:szCs w:val="24"/>
            <w:u w:val="single"/>
          </w:rPr>
          <w:t>安全生产风险分级管控指导手册（附件）</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_Toc27072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9</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19" w:anchor="_Toc25517" w:history="1">
        <w:r w:rsidR="00ED623C" w:rsidRPr="00ED623C">
          <w:rPr>
            <w:rFonts w:ascii="Calibri" w:eastAsia="宋体" w:hAnsi="Calibri" w:cs="Times New Roman" w:hint="eastAsia"/>
            <w:color w:val="0000FF"/>
            <w:sz w:val="24"/>
            <w:szCs w:val="24"/>
            <w:u w:val="single"/>
          </w:rPr>
          <w:t>生产安全事故隐患排查治理指导手册（附件）</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_Toc25517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9</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20" w:anchor="_Toc7271" w:history="1">
        <w:r w:rsidR="00ED623C" w:rsidRPr="00ED623C">
          <w:rPr>
            <w:rFonts w:ascii="Calibri" w:eastAsia="宋体" w:hAnsi="Calibri" w:cs="Times New Roman" w:hint="eastAsia"/>
            <w:color w:val="0000FF"/>
            <w:sz w:val="24"/>
            <w:szCs w:val="24"/>
            <w:u w:val="single"/>
          </w:rPr>
          <w:t>（</w:t>
        </w:r>
        <w:r w:rsidR="00ED623C" w:rsidRPr="00ED623C">
          <w:rPr>
            <w:rFonts w:ascii="Calibri" w:eastAsia="宋体" w:hAnsi="Calibri" w:cs="Times New Roman"/>
            <w:color w:val="0000FF"/>
            <w:sz w:val="24"/>
            <w:szCs w:val="24"/>
            <w:u w:val="single"/>
          </w:rPr>
          <w:t>2</w:t>
        </w:r>
        <w:r w:rsidR="00ED623C" w:rsidRPr="00ED623C">
          <w:rPr>
            <w:rFonts w:ascii="Calibri" w:eastAsia="宋体" w:hAnsi="Calibri" w:cs="Times New Roman" w:hint="eastAsia"/>
            <w:color w:val="0000FF"/>
            <w:sz w:val="24"/>
            <w:szCs w:val="24"/>
            <w:u w:val="single"/>
          </w:rPr>
          <w:t>）制度</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_Toc7271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9</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21" w:anchor="_Toc31785" w:history="1">
        <w:r w:rsidR="00ED623C" w:rsidRPr="00ED623C">
          <w:rPr>
            <w:rFonts w:ascii="Calibri" w:eastAsia="宋体" w:hAnsi="Calibri" w:cs="Times New Roman"/>
            <w:color w:val="0000FF"/>
            <w:sz w:val="24"/>
            <w:szCs w:val="24"/>
            <w:u w:val="single"/>
          </w:rPr>
          <w:t>2.1</w:t>
        </w:r>
        <w:r w:rsidR="00ED623C" w:rsidRPr="00ED623C">
          <w:rPr>
            <w:rFonts w:ascii="Calibri" w:eastAsia="宋体" w:hAnsi="Calibri" w:cs="Times New Roman" w:hint="eastAsia"/>
            <w:color w:val="0000FF"/>
            <w:sz w:val="24"/>
            <w:szCs w:val="24"/>
            <w:u w:val="single"/>
          </w:rPr>
          <w:t>安全生产风险分级管控制度</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_Toc31785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9</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22" w:anchor="_Toc1736" w:history="1">
        <w:r w:rsidR="00ED623C" w:rsidRPr="00ED623C">
          <w:rPr>
            <w:rFonts w:ascii="Calibri" w:eastAsia="宋体" w:hAnsi="Calibri" w:cs="Times New Roman"/>
            <w:color w:val="0000FF"/>
            <w:sz w:val="24"/>
            <w:szCs w:val="24"/>
            <w:u w:val="single"/>
          </w:rPr>
          <w:t>2.2</w:t>
        </w:r>
        <w:r w:rsidR="00ED623C" w:rsidRPr="00ED623C">
          <w:rPr>
            <w:rFonts w:ascii="Calibri" w:eastAsia="宋体" w:hAnsi="Calibri" w:cs="Times New Roman" w:hint="eastAsia"/>
            <w:color w:val="0000FF"/>
            <w:sz w:val="24"/>
            <w:szCs w:val="24"/>
            <w:u w:val="single"/>
          </w:rPr>
          <w:t>安全检查与生产安全事故隐患排查治理制度</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_Toc1736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15</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23" w:anchor="_Toc21032" w:history="1">
        <w:r w:rsidR="00ED623C" w:rsidRPr="00ED623C">
          <w:rPr>
            <w:rFonts w:ascii="Calibri" w:eastAsia="宋体" w:hAnsi="Calibri" w:cs="Times New Roman"/>
            <w:color w:val="0000FF"/>
            <w:sz w:val="24"/>
            <w:szCs w:val="24"/>
            <w:u w:val="single"/>
          </w:rPr>
          <w:t xml:space="preserve">2.3 </w:t>
        </w:r>
        <w:r w:rsidR="00ED623C" w:rsidRPr="00ED623C">
          <w:rPr>
            <w:rFonts w:ascii="Calibri" w:eastAsia="宋体" w:hAnsi="Calibri" w:cs="Times New Roman" w:hint="eastAsia"/>
            <w:color w:val="0000FF"/>
            <w:sz w:val="24"/>
            <w:szCs w:val="24"/>
            <w:u w:val="single"/>
          </w:rPr>
          <w:t>双体系建设奖惩管理制度</w:t>
        </w:r>
        <w:r w:rsidR="00ED623C" w:rsidRPr="00ED623C">
          <w:rPr>
            <w:rFonts w:ascii="Calibri" w:eastAsia="宋体" w:hAnsi="Calibri" w:cs="Times New Roman"/>
            <w:color w:val="0000FF"/>
            <w:sz w:val="24"/>
            <w:szCs w:val="24"/>
            <w:u w:val="single"/>
          </w:rPr>
          <w:tab/>
          <w:t>1</w:t>
        </w:r>
      </w:hyperlink>
      <w:r w:rsidR="00ED623C" w:rsidRPr="00ED623C">
        <w:rPr>
          <w:rFonts w:ascii="仿宋" w:eastAsia="仿宋" w:hAnsi="仿宋" w:cs="仿宋" w:hint="eastAsia"/>
          <w:b/>
          <w:bCs/>
          <w:sz w:val="24"/>
          <w:szCs w:val="24"/>
        </w:rPr>
        <w:t>9</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24" w:anchor="_Toc13178" w:history="1">
        <w:r w:rsidR="00ED623C" w:rsidRPr="00ED623C">
          <w:rPr>
            <w:rFonts w:ascii="Calibri" w:eastAsia="宋体" w:hAnsi="Calibri" w:cs="Times New Roman" w:hint="eastAsia"/>
            <w:color w:val="0000FF"/>
            <w:sz w:val="24"/>
            <w:szCs w:val="24"/>
            <w:u w:val="single"/>
          </w:rPr>
          <w:t>（</w:t>
        </w:r>
        <w:r w:rsidR="00ED623C" w:rsidRPr="00ED623C">
          <w:rPr>
            <w:rFonts w:ascii="Calibri" w:eastAsia="宋体" w:hAnsi="Calibri" w:cs="Times New Roman"/>
            <w:color w:val="0000FF"/>
            <w:sz w:val="24"/>
            <w:szCs w:val="24"/>
            <w:u w:val="single"/>
          </w:rPr>
          <w:t>3</w:t>
        </w:r>
        <w:r w:rsidR="00ED623C" w:rsidRPr="00ED623C">
          <w:rPr>
            <w:rFonts w:ascii="Calibri" w:eastAsia="宋体" w:hAnsi="Calibri" w:cs="Times New Roman" w:hint="eastAsia"/>
            <w:color w:val="0000FF"/>
            <w:sz w:val="24"/>
            <w:szCs w:val="24"/>
            <w:u w:val="single"/>
          </w:rPr>
          <w:t>）职责</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_Toc13178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23</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200" w:left="420"/>
        <w:jc w:val="left"/>
        <w:rPr>
          <w:rFonts w:ascii="Calibri" w:eastAsia="宋体" w:hAnsi="Calibri" w:cs="Times New Roman"/>
          <w:sz w:val="24"/>
          <w:szCs w:val="24"/>
        </w:rPr>
      </w:pPr>
      <w:hyperlink r:id="rId25" w:anchor="_Toc30114" w:history="1">
        <w:r w:rsidR="00ED623C" w:rsidRPr="00ED623C">
          <w:rPr>
            <w:rFonts w:ascii="Calibri" w:eastAsia="宋体" w:hAnsi="Calibri" w:cs="Times New Roman" w:hint="eastAsia"/>
            <w:color w:val="0000FF"/>
            <w:sz w:val="24"/>
            <w:szCs w:val="24"/>
            <w:u w:val="single"/>
          </w:rPr>
          <w:t>三、安全培训</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_Toc30114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26</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26" w:anchor="_Toc11141" w:history="1">
        <w:r w:rsidR="00ED623C" w:rsidRPr="00ED623C">
          <w:rPr>
            <w:rFonts w:ascii="Calibri" w:eastAsia="宋体" w:hAnsi="Calibri" w:cs="Times New Roman" w:hint="eastAsia"/>
            <w:color w:val="0000FF"/>
            <w:sz w:val="24"/>
            <w:szCs w:val="24"/>
            <w:u w:val="single"/>
          </w:rPr>
          <w:t>（</w:t>
        </w:r>
        <w:r w:rsidR="00ED623C" w:rsidRPr="00ED623C">
          <w:rPr>
            <w:rFonts w:ascii="Calibri" w:eastAsia="宋体" w:hAnsi="Calibri" w:cs="Times New Roman"/>
            <w:color w:val="0000FF"/>
            <w:sz w:val="24"/>
            <w:szCs w:val="24"/>
            <w:u w:val="single"/>
          </w:rPr>
          <w:t>1</w:t>
        </w:r>
        <w:r w:rsidR="00ED623C" w:rsidRPr="00ED623C">
          <w:rPr>
            <w:rFonts w:ascii="Calibri" w:eastAsia="宋体" w:hAnsi="Calibri" w:cs="Times New Roman" w:hint="eastAsia"/>
            <w:color w:val="0000FF"/>
            <w:sz w:val="24"/>
            <w:szCs w:val="24"/>
            <w:u w:val="single"/>
          </w:rPr>
          <w:t>）全员培训</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_Toc11141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26</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27" w:anchor="_Toc18616" w:history="1">
        <w:r w:rsidR="00ED623C" w:rsidRPr="00ED623C">
          <w:rPr>
            <w:rFonts w:ascii="Calibri" w:eastAsia="宋体" w:hAnsi="Calibri" w:cs="Times New Roman" w:hint="eastAsia"/>
            <w:color w:val="0000FF"/>
            <w:sz w:val="24"/>
            <w:szCs w:val="24"/>
            <w:u w:val="single"/>
          </w:rPr>
          <w:t>（</w:t>
        </w:r>
        <w:r w:rsidR="00ED623C" w:rsidRPr="00ED623C">
          <w:rPr>
            <w:rFonts w:ascii="Calibri" w:eastAsia="宋体" w:hAnsi="Calibri" w:cs="Times New Roman"/>
            <w:color w:val="0000FF"/>
            <w:sz w:val="24"/>
            <w:szCs w:val="24"/>
            <w:u w:val="single"/>
          </w:rPr>
          <w:t>2</w:t>
        </w:r>
        <w:r w:rsidR="00ED623C" w:rsidRPr="00ED623C">
          <w:rPr>
            <w:rFonts w:ascii="Calibri" w:eastAsia="宋体" w:hAnsi="Calibri" w:cs="Times New Roman" w:hint="eastAsia"/>
            <w:color w:val="0000FF"/>
            <w:sz w:val="24"/>
            <w:szCs w:val="24"/>
            <w:u w:val="single"/>
          </w:rPr>
          <w:t>）有针对性的分层次开展培训</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_Toc18616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26</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28" w:anchor="_Toc22715" w:history="1">
        <w:r w:rsidR="00ED623C" w:rsidRPr="00ED623C">
          <w:rPr>
            <w:rFonts w:ascii="Calibri" w:eastAsia="宋体" w:hAnsi="Calibri" w:cs="Times New Roman" w:hint="eastAsia"/>
            <w:color w:val="0000FF"/>
            <w:sz w:val="24"/>
            <w:szCs w:val="24"/>
            <w:u w:val="single"/>
          </w:rPr>
          <w:t>（</w:t>
        </w:r>
        <w:r w:rsidR="00ED623C" w:rsidRPr="00ED623C">
          <w:rPr>
            <w:rFonts w:ascii="Calibri" w:eastAsia="宋体" w:hAnsi="Calibri" w:cs="Times New Roman"/>
            <w:color w:val="0000FF"/>
            <w:sz w:val="24"/>
            <w:szCs w:val="24"/>
            <w:u w:val="single"/>
          </w:rPr>
          <w:t>3</w:t>
        </w:r>
        <w:r w:rsidR="00ED623C" w:rsidRPr="00ED623C">
          <w:rPr>
            <w:rFonts w:ascii="Calibri" w:eastAsia="宋体" w:hAnsi="Calibri" w:cs="Times New Roman" w:hint="eastAsia"/>
            <w:color w:val="0000FF"/>
            <w:sz w:val="24"/>
            <w:szCs w:val="24"/>
            <w:u w:val="single"/>
          </w:rPr>
          <w:t>）培训层次多样化</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_Toc22715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26</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29" w:anchor="_Toc17736" w:history="1">
        <w:r w:rsidR="00ED623C" w:rsidRPr="00ED623C">
          <w:rPr>
            <w:rFonts w:ascii="Calibri" w:eastAsia="宋体" w:hAnsi="Calibri" w:cs="Times New Roman" w:hint="eastAsia"/>
            <w:color w:val="0000FF"/>
            <w:sz w:val="24"/>
            <w:szCs w:val="24"/>
            <w:u w:val="single"/>
          </w:rPr>
          <w:t>（</w:t>
        </w:r>
        <w:r w:rsidR="00ED623C" w:rsidRPr="00ED623C">
          <w:rPr>
            <w:rFonts w:ascii="Calibri" w:eastAsia="宋体" w:hAnsi="Calibri" w:cs="Times New Roman"/>
            <w:color w:val="0000FF"/>
            <w:sz w:val="24"/>
            <w:szCs w:val="24"/>
            <w:u w:val="single"/>
          </w:rPr>
          <w:t>4</w:t>
        </w:r>
        <w:r w:rsidR="00ED623C" w:rsidRPr="00ED623C">
          <w:rPr>
            <w:rFonts w:ascii="Calibri" w:eastAsia="宋体" w:hAnsi="Calibri" w:cs="Times New Roman" w:hint="eastAsia"/>
            <w:color w:val="0000FF"/>
            <w:sz w:val="24"/>
            <w:szCs w:val="24"/>
            <w:u w:val="single"/>
          </w:rPr>
          <w:t>）多重手段并用</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_Toc17736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27</w:t>
        </w:r>
        <w:r w:rsidRPr="00ED623C">
          <w:rPr>
            <w:rFonts w:ascii="Calibri" w:eastAsia="宋体" w:hAnsi="Calibri" w:cs="Times New Roman"/>
            <w:color w:val="0000FF"/>
            <w:sz w:val="24"/>
            <w:szCs w:val="24"/>
            <w:u w:val="single"/>
          </w:rPr>
          <w:fldChar w:fldCharType="end"/>
        </w:r>
      </w:hyperlink>
    </w:p>
    <w:p w:rsidR="00ED623C" w:rsidRPr="00ED623C" w:rsidRDefault="00AF402D" w:rsidP="00ED623C">
      <w:pPr>
        <w:tabs>
          <w:tab w:val="right" w:leader="dot" w:pos="9208"/>
        </w:tabs>
        <w:spacing w:line="276" w:lineRule="auto"/>
        <w:ind w:leftChars="200" w:left="420"/>
        <w:jc w:val="left"/>
        <w:rPr>
          <w:rFonts w:ascii="Calibri" w:eastAsia="宋体" w:hAnsi="Calibri" w:cs="Times New Roman"/>
          <w:sz w:val="24"/>
          <w:szCs w:val="24"/>
        </w:rPr>
      </w:pPr>
      <w:hyperlink r:id="rId30" w:anchor="_Toc28561" w:history="1">
        <w:r w:rsidR="00ED623C" w:rsidRPr="00ED623C">
          <w:rPr>
            <w:rFonts w:ascii="Calibri" w:eastAsia="宋体" w:hAnsi="Calibri" w:cs="Times New Roman" w:hint="eastAsia"/>
            <w:color w:val="0000FF"/>
            <w:sz w:val="24"/>
            <w:szCs w:val="24"/>
            <w:u w:val="single"/>
          </w:rPr>
          <w:t>四、双重预防体系过程管控</w:t>
        </w:r>
        <w:r w:rsidR="00ED623C" w:rsidRPr="00ED623C">
          <w:rPr>
            <w:rFonts w:ascii="Calibri" w:eastAsia="宋体" w:hAnsi="Calibri" w:cs="Times New Roman"/>
            <w:color w:val="0000FF"/>
            <w:sz w:val="24"/>
            <w:szCs w:val="24"/>
            <w:u w:val="single"/>
          </w:rPr>
          <w:tab/>
          <w:t>2</w:t>
        </w:r>
      </w:hyperlink>
      <w:r w:rsidR="00ED623C" w:rsidRPr="00ED623C">
        <w:rPr>
          <w:rFonts w:ascii="Calibri" w:eastAsia="仿宋" w:hAnsi="仿宋" w:cs="仿宋"/>
          <w:sz w:val="24"/>
          <w:szCs w:val="24"/>
        </w:rPr>
        <w:t>7</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31" w:anchor="_Toc4058" w:history="1">
        <w:r w:rsidR="00ED623C" w:rsidRPr="00ED623C">
          <w:rPr>
            <w:rFonts w:ascii="Calibri" w:eastAsia="宋体" w:hAnsi="Calibri" w:cs="Times New Roman" w:hint="eastAsia"/>
            <w:color w:val="0000FF"/>
            <w:sz w:val="24"/>
            <w:szCs w:val="24"/>
            <w:u w:val="single"/>
          </w:rPr>
          <w:t>（一）管控要求</w:t>
        </w:r>
        <w:r w:rsidR="00ED623C" w:rsidRPr="00ED623C">
          <w:rPr>
            <w:rFonts w:ascii="Calibri" w:eastAsia="宋体" w:hAnsi="Calibri" w:cs="Times New Roman"/>
            <w:color w:val="0000FF"/>
            <w:sz w:val="24"/>
            <w:szCs w:val="24"/>
            <w:u w:val="single"/>
          </w:rPr>
          <w:tab/>
          <w:t>2</w:t>
        </w:r>
      </w:hyperlink>
      <w:r w:rsidR="00ED623C" w:rsidRPr="00ED623C">
        <w:rPr>
          <w:rFonts w:ascii="Calibri" w:eastAsia="仿宋" w:hAnsi="仿宋" w:cs="仿宋"/>
          <w:bCs/>
          <w:sz w:val="24"/>
          <w:szCs w:val="24"/>
        </w:rPr>
        <w:t>7</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32" w:anchor="_Toc17604" w:history="1">
        <w:r w:rsidR="00ED623C" w:rsidRPr="00ED623C">
          <w:rPr>
            <w:rFonts w:ascii="Calibri" w:eastAsia="宋体" w:hAnsi="Calibri" w:cs="Times New Roman" w:hint="eastAsia"/>
            <w:color w:val="0000FF"/>
            <w:sz w:val="24"/>
            <w:szCs w:val="24"/>
            <w:u w:val="single"/>
          </w:rPr>
          <w:t>（二）综合管控</w:t>
        </w:r>
        <w:r w:rsidR="00ED623C" w:rsidRPr="00ED623C">
          <w:rPr>
            <w:rFonts w:ascii="Calibri" w:eastAsia="宋体" w:hAnsi="Calibri" w:cs="Times New Roman"/>
            <w:color w:val="0000FF"/>
            <w:sz w:val="24"/>
            <w:szCs w:val="24"/>
            <w:u w:val="single"/>
          </w:rPr>
          <w:tab/>
          <w:t>2</w:t>
        </w:r>
      </w:hyperlink>
      <w:r w:rsidR="00ED623C" w:rsidRPr="00ED623C">
        <w:rPr>
          <w:rFonts w:ascii="Calibri" w:eastAsia="仿宋" w:hAnsi="仿宋" w:cs="仿宋"/>
          <w:bCs/>
          <w:sz w:val="24"/>
          <w:szCs w:val="24"/>
        </w:rPr>
        <w:t>7</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33" w:anchor="_Toc19234" w:history="1">
        <w:r w:rsidR="00ED623C" w:rsidRPr="00ED623C">
          <w:rPr>
            <w:rFonts w:ascii="Calibri" w:eastAsia="宋体" w:hAnsi="Calibri" w:cs="Times New Roman" w:hint="eastAsia"/>
            <w:color w:val="0000FF"/>
            <w:sz w:val="24"/>
            <w:szCs w:val="24"/>
            <w:u w:val="single"/>
          </w:rPr>
          <w:t>（三）专业管控</w:t>
        </w:r>
        <w:r w:rsidR="00ED623C" w:rsidRPr="00ED623C">
          <w:rPr>
            <w:rFonts w:ascii="Calibri" w:eastAsia="宋体" w:hAnsi="Calibri" w:cs="Times New Roman"/>
            <w:color w:val="0000FF"/>
            <w:sz w:val="24"/>
            <w:szCs w:val="24"/>
            <w:u w:val="single"/>
          </w:rPr>
          <w:tab/>
          <w:t>2</w:t>
        </w:r>
      </w:hyperlink>
      <w:r w:rsidR="00ED623C" w:rsidRPr="00ED623C">
        <w:rPr>
          <w:rFonts w:ascii="Calibri" w:eastAsia="仿宋" w:hAnsi="仿宋" w:cs="仿宋"/>
          <w:bCs/>
          <w:sz w:val="24"/>
          <w:szCs w:val="24"/>
        </w:rPr>
        <w:t>7</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34" w:anchor="_Toc21862" w:history="1">
        <w:r w:rsidR="00ED623C" w:rsidRPr="00ED623C">
          <w:rPr>
            <w:rFonts w:ascii="Calibri" w:eastAsia="宋体" w:hAnsi="Calibri" w:cs="Times New Roman" w:hint="eastAsia"/>
            <w:color w:val="0000FF"/>
            <w:sz w:val="24"/>
            <w:szCs w:val="24"/>
            <w:u w:val="single"/>
          </w:rPr>
          <w:t>（四）动态管控</w:t>
        </w:r>
        <w:r w:rsidR="00ED623C" w:rsidRPr="00ED623C">
          <w:rPr>
            <w:rFonts w:ascii="Calibri" w:eastAsia="宋体" w:hAnsi="Calibri" w:cs="Times New Roman"/>
            <w:color w:val="0000FF"/>
            <w:sz w:val="24"/>
            <w:szCs w:val="24"/>
            <w:u w:val="single"/>
          </w:rPr>
          <w:tab/>
          <w:t>2</w:t>
        </w:r>
      </w:hyperlink>
      <w:r w:rsidR="00ED623C" w:rsidRPr="00ED623C">
        <w:rPr>
          <w:rFonts w:ascii="Calibri" w:eastAsia="仿宋" w:hAnsi="仿宋" w:cs="仿宋"/>
          <w:bCs/>
          <w:sz w:val="24"/>
          <w:szCs w:val="24"/>
        </w:rPr>
        <w:t>7</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35" w:anchor="_Toc30833" w:history="1">
        <w:r w:rsidR="00ED623C" w:rsidRPr="00ED623C">
          <w:rPr>
            <w:rFonts w:ascii="Calibri" w:eastAsia="宋体" w:hAnsi="Calibri" w:cs="Times New Roman" w:hint="eastAsia"/>
            <w:color w:val="0000FF"/>
            <w:sz w:val="24"/>
            <w:szCs w:val="24"/>
            <w:u w:val="single"/>
          </w:rPr>
          <w:t>（五）风险隐患公示</w:t>
        </w:r>
        <w:r w:rsidR="00ED623C" w:rsidRPr="00ED623C">
          <w:rPr>
            <w:rFonts w:ascii="Calibri" w:eastAsia="宋体" w:hAnsi="Calibri" w:cs="Times New Roman"/>
            <w:color w:val="0000FF"/>
            <w:sz w:val="24"/>
            <w:szCs w:val="24"/>
            <w:u w:val="single"/>
          </w:rPr>
          <w:tab/>
          <w:t>2</w:t>
        </w:r>
      </w:hyperlink>
      <w:r w:rsidR="00ED623C" w:rsidRPr="00ED623C">
        <w:rPr>
          <w:rFonts w:ascii="Calibri" w:eastAsia="仿宋" w:hAnsi="仿宋" w:cs="仿宋"/>
          <w:bCs/>
          <w:sz w:val="24"/>
          <w:szCs w:val="24"/>
        </w:rPr>
        <w:t>8</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36" w:anchor="_Toc15356" w:history="1">
        <w:r w:rsidR="00ED623C" w:rsidRPr="00ED623C">
          <w:rPr>
            <w:rFonts w:ascii="Calibri" w:eastAsia="宋体" w:hAnsi="Calibri" w:cs="Times New Roman" w:hint="eastAsia"/>
            <w:color w:val="0000FF"/>
            <w:sz w:val="24"/>
            <w:szCs w:val="24"/>
            <w:u w:val="single"/>
          </w:rPr>
          <w:t>（六）信息上报</w:t>
        </w:r>
        <w:r w:rsidR="00ED623C" w:rsidRPr="00ED623C">
          <w:rPr>
            <w:rFonts w:ascii="Calibri" w:eastAsia="宋体" w:hAnsi="Calibri" w:cs="Times New Roman"/>
            <w:color w:val="0000FF"/>
            <w:sz w:val="24"/>
            <w:szCs w:val="24"/>
            <w:u w:val="single"/>
          </w:rPr>
          <w:tab/>
          <w:t>2</w:t>
        </w:r>
      </w:hyperlink>
      <w:r w:rsidR="00ED623C" w:rsidRPr="00ED623C">
        <w:rPr>
          <w:rFonts w:ascii="Calibri" w:eastAsia="仿宋" w:hAnsi="仿宋" w:cs="仿宋"/>
          <w:bCs/>
          <w:sz w:val="24"/>
          <w:szCs w:val="24"/>
        </w:rPr>
        <w:t>9</w:t>
      </w:r>
    </w:p>
    <w:p w:rsidR="00ED623C" w:rsidRPr="00ED623C" w:rsidRDefault="00AF402D" w:rsidP="00ED623C">
      <w:pPr>
        <w:tabs>
          <w:tab w:val="right" w:leader="dot" w:pos="9208"/>
        </w:tabs>
        <w:spacing w:line="276" w:lineRule="auto"/>
        <w:ind w:leftChars="200" w:left="420"/>
        <w:jc w:val="left"/>
        <w:rPr>
          <w:rFonts w:ascii="Calibri" w:eastAsia="宋体" w:hAnsi="Calibri" w:cs="Times New Roman"/>
          <w:sz w:val="24"/>
          <w:szCs w:val="24"/>
        </w:rPr>
      </w:pPr>
      <w:hyperlink r:id="rId37" w:anchor="_Toc21702" w:history="1">
        <w:r w:rsidR="00ED623C" w:rsidRPr="00ED623C">
          <w:rPr>
            <w:rFonts w:ascii="Calibri" w:eastAsia="宋体" w:hAnsi="Calibri" w:cs="Times New Roman" w:hint="eastAsia"/>
            <w:color w:val="0000FF"/>
            <w:sz w:val="24"/>
            <w:szCs w:val="24"/>
            <w:u w:val="single"/>
          </w:rPr>
          <w:t>五、信息平台建设</w:t>
        </w:r>
        <w:r w:rsidR="00ED623C" w:rsidRPr="00ED623C">
          <w:rPr>
            <w:rFonts w:ascii="Calibri" w:eastAsia="宋体" w:hAnsi="Calibri" w:cs="Times New Roman"/>
            <w:color w:val="0000FF"/>
            <w:sz w:val="24"/>
            <w:szCs w:val="24"/>
            <w:u w:val="single"/>
          </w:rPr>
          <w:tab/>
        </w:r>
      </w:hyperlink>
      <w:r w:rsidR="00ED623C" w:rsidRPr="00ED623C">
        <w:rPr>
          <w:rFonts w:ascii="Calibri" w:eastAsia="仿宋" w:hAnsi="仿宋" w:cs="仿宋"/>
          <w:bCs/>
          <w:sz w:val="24"/>
          <w:szCs w:val="24"/>
        </w:rPr>
        <w:t>29</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38" w:anchor="_Toc25553" w:history="1">
        <w:r w:rsidR="00ED623C" w:rsidRPr="00ED623C">
          <w:rPr>
            <w:rFonts w:ascii="Calibri" w:eastAsia="宋体" w:hAnsi="Calibri" w:cs="Times New Roman" w:hint="eastAsia"/>
            <w:color w:val="0000FF"/>
            <w:sz w:val="24"/>
            <w:szCs w:val="24"/>
            <w:u w:val="single"/>
          </w:rPr>
          <w:t>（一）基本要求</w:t>
        </w:r>
        <w:r w:rsidR="00ED623C" w:rsidRPr="00ED623C">
          <w:rPr>
            <w:rFonts w:ascii="Calibri" w:eastAsia="宋体" w:hAnsi="Calibri" w:cs="Times New Roman"/>
            <w:color w:val="0000FF"/>
            <w:sz w:val="24"/>
            <w:szCs w:val="24"/>
            <w:u w:val="single"/>
          </w:rPr>
          <w:tab/>
        </w:r>
      </w:hyperlink>
      <w:r w:rsidR="00ED623C" w:rsidRPr="00ED623C">
        <w:rPr>
          <w:rFonts w:ascii="Calibri" w:eastAsia="仿宋" w:hAnsi="仿宋" w:cs="仿宋"/>
          <w:bCs/>
          <w:sz w:val="24"/>
          <w:szCs w:val="24"/>
        </w:rPr>
        <w:t>29</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39" w:anchor="_Toc24423" w:history="1">
        <w:r w:rsidR="00ED623C" w:rsidRPr="00ED623C">
          <w:rPr>
            <w:rFonts w:ascii="Calibri" w:eastAsia="宋体" w:hAnsi="Calibri" w:cs="Times New Roman" w:hint="eastAsia"/>
            <w:color w:val="0000FF"/>
            <w:sz w:val="24"/>
            <w:szCs w:val="24"/>
            <w:u w:val="single"/>
          </w:rPr>
          <w:t>（二）功能模块</w:t>
        </w:r>
        <w:r w:rsidR="00ED623C" w:rsidRPr="00ED623C">
          <w:rPr>
            <w:rFonts w:ascii="Calibri" w:eastAsia="宋体" w:hAnsi="Calibri" w:cs="Times New Roman"/>
            <w:color w:val="0000FF"/>
            <w:sz w:val="24"/>
            <w:szCs w:val="24"/>
            <w:u w:val="single"/>
          </w:rPr>
          <w:tab/>
        </w:r>
      </w:hyperlink>
      <w:r w:rsidR="00ED623C" w:rsidRPr="00ED623C">
        <w:rPr>
          <w:rFonts w:ascii="Calibri" w:eastAsia="仿宋" w:hAnsi="仿宋" w:cs="仿宋"/>
          <w:bCs/>
          <w:sz w:val="24"/>
          <w:szCs w:val="24"/>
        </w:rPr>
        <w:t>29</w:t>
      </w:r>
    </w:p>
    <w:p w:rsidR="00ED623C" w:rsidRPr="00ED623C" w:rsidRDefault="00AF402D" w:rsidP="00ED623C">
      <w:pPr>
        <w:tabs>
          <w:tab w:val="right" w:leader="dot" w:pos="9208"/>
        </w:tabs>
        <w:spacing w:line="276" w:lineRule="auto"/>
        <w:ind w:leftChars="200" w:left="420"/>
        <w:jc w:val="left"/>
        <w:rPr>
          <w:rFonts w:ascii="Calibri" w:eastAsia="宋体" w:hAnsi="Calibri" w:cs="Times New Roman"/>
          <w:sz w:val="24"/>
          <w:szCs w:val="24"/>
        </w:rPr>
      </w:pPr>
      <w:hyperlink r:id="rId40" w:anchor="_Toc5041" w:history="1">
        <w:r w:rsidR="00ED623C" w:rsidRPr="00ED623C">
          <w:rPr>
            <w:rFonts w:ascii="Calibri" w:eastAsia="宋体" w:hAnsi="Calibri" w:cs="Times New Roman" w:hint="eastAsia"/>
            <w:color w:val="0000FF"/>
            <w:sz w:val="24"/>
            <w:szCs w:val="24"/>
            <w:u w:val="single"/>
          </w:rPr>
          <w:t>六、文档管理</w:t>
        </w:r>
        <w:r w:rsidR="00ED623C" w:rsidRPr="00ED623C">
          <w:rPr>
            <w:rFonts w:ascii="Calibri" w:eastAsia="宋体" w:hAnsi="Calibri" w:cs="Times New Roman"/>
            <w:color w:val="0000FF"/>
            <w:sz w:val="24"/>
            <w:szCs w:val="24"/>
            <w:u w:val="single"/>
          </w:rPr>
          <w:tab/>
        </w:r>
      </w:hyperlink>
      <w:r w:rsidR="00ED623C" w:rsidRPr="00ED623C">
        <w:rPr>
          <w:rFonts w:ascii="Calibri" w:eastAsia="仿宋" w:hAnsi="仿宋" w:cs="仿宋"/>
          <w:bCs/>
          <w:sz w:val="24"/>
          <w:szCs w:val="24"/>
        </w:rPr>
        <w:t>31</w:t>
      </w:r>
    </w:p>
    <w:p w:rsidR="00ED623C" w:rsidRPr="00ED623C" w:rsidRDefault="00AF402D" w:rsidP="00ED623C">
      <w:pPr>
        <w:tabs>
          <w:tab w:val="right" w:leader="dot" w:pos="9208"/>
        </w:tabs>
        <w:spacing w:line="276" w:lineRule="auto"/>
        <w:ind w:leftChars="200" w:left="420"/>
        <w:jc w:val="left"/>
        <w:rPr>
          <w:rFonts w:ascii="Calibri" w:eastAsia="宋体" w:hAnsi="Calibri" w:cs="Times New Roman"/>
          <w:sz w:val="24"/>
          <w:szCs w:val="24"/>
        </w:rPr>
      </w:pPr>
      <w:hyperlink r:id="rId41" w:anchor="_Toc24095" w:history="1">
        <w:r w:rsidR="00ED623C" w:rsidRPr="00ED623C">
          <w:rPr>
            <w:rFonts w:ascii="Calibri" w:eastAsia="宋体" w:hAnsi="Calibri" w:cs="Times New Roman" w:hint="eastAsia"/>
            <w:color w:val="0000FF"/>
            <w:sz w:val="24"/>
            <w:szCs w:val="24"/>
            <w:u w:val="single"/>
          </w:rPr>
          <w:t>七、双重预防体系建设效果</w:t>
        </w:r>
        <w:r w:rsidR="00ED623C" w:rsidRPr="00ED623C">
          <w:rPr>
            <w:rFonts w:ascii="Calibri" w:eastAsia="宋体" w:hAnsi="Calibri" w:cs="Times New Roman"/>
            <w:color w:val="0000FF"/>
            <w:sz w:val="24"/>
            <w:szCs w:val="24"/>
            <w:u w:val="single"/>
          </w:rPr>
          <w:tab/>
        </w:r>
      </w:hyperlink>
      <w:r w:rsidR="00ED623C" w:rsidRPr="00ED623C">
        <w:rPr>
          <w:rFonts w:ascii="Calibri" w:eastAsia="仿宋" w:hAnsi="仿宋" w:cs="仿宋"/>
          <w:bCs/>
          <w:sz w:val="24"/>
          <w:szCs w:val="24"/>
        </w:rPr>
        <w:t>32</w:t>
      </w:r>
    </w:p>
    <w:p w:rsidR="00ED623C" w:rsidRPr="00ED623C" w:rsidRDefault="00AF402D" w:rsidP="00ED623C">
      <w:pPr>
        <w:tabs>
          <w:tab w:val="right" w:leader="dot" w:pos="9208"/>
        </w:tabs>
        <w:spacing w:line="276" w:lineRule="auto"/>
        <w:ind w:leftChars="200" w:left="420"/>
        <w:jc w:val="left"/>
        <w:rPr>
          <w:rFonts w:ascii="Calibri" w:eastAsia="宋体" w:hAnsi="Calibri" w:cs="Times New Roman"/>
          <w:sz w:val="24"/>
          <w:szCs w:val="24"/>
        </w:rPr>
      </w:pPr>
      <w:hyperlink r:id="rId42" w:anchor="_Toc29604" w:history="1">
        <w:r w:rsidR="00ED623C" w:rsidRPr="00ED623C">
          <w:rPr>
            <w:rFonts w:ascii="Calibri" w:eastAsia="宋体" w:hAnsi="Calibri" w:cs="Times New Roman" w:hint="eastAsia"/>
            <w:color w:val="0000FF"/>
            <w:sz w:val="24"/>
            <w:szCs w:val="24"/>
            <w:u w:val="single"/>
          </w:rPr>
          <w:t>八、持续改进</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_Toc29604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33</w:t>
        </w:r>
        <w:r w:rsidRPr="00ED623C">
          <w:rPr>
            <w:rFonts w:ascii="Calibri" w:eastAsia="宋体" w:hAnsi="Calibri" w:cs="Times New Roman"/>
            <w:color w:val="0000FF"/>
            <w:sz w:val="24"/>
            <w:szCs w:val="24"/>
            <w:u w:val="single"/>
          </w:rPr>
          <w:fldChar w:fldCharType="end"/>
        </w:r>
      </w:hyperlink>
      <w:r w:rsidR="00ED623C" w:rsidRPr="00ED623C">
        <w:rPr>
          <w:rFonts w:ascii="Calibri" w:eastAsia="仿宋" w:hAnsi="仿宋" w:cs="仿宋"/>
          <w:bCs/>
          <w:sz w:val="24"/>
          <w:szCs w:val="24"/>
        </w:rPr>
        <w:t>2</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43" w:anchor="_Toc5271" w:history="1">
        <w:r w:rsidR="00ED623C" w:rsidRPr="00ED623C">
          <w:rPr>
            <w:rFonts w:ascii="Calibri" w:eastAsia="宋体" w:hAnsi="Calibri" w:cs="Times New Roman" w:hint="eastAsia"/>
            <w:color w:val="0000FF"/>
            <w:sz w:val="24"/>
            <w:szCs w:val="24"/>
            <w:u w:val="single"/>
          </w:rPr>
          <w:t>（一）评估</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_Toc5271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33</w:t>
        </w:r>
        <w:r w:rsidRPr="00ED623C">
          <w:rPr>
            <w:rFonts w:ascii="Calibri" w:eastAsia="宋体" w:hAnsi="Calibri" w:cs="Times New Roman"/>
            <w:color w:val="0000FF"/>
            <w:sz w:val="24"/>
            <w:szCs w:val="24"/>
            <w:u w:val="single"/>
          </w:rPr>
          <w:fldChar w:fldCharType="end"/>
        </w:r>
      </w:hyperlink>
      <w:r w:rsidR="00ED623C" w:rsidRPr="00ED623C">
        <w:rPr>
          <w:rFonts w:ascii="Calibri" w:eastAsia="仿宋" w:hAnsi="仿宋" w:cs="仿宋"/>
          <w:bCs/>
          <w:sz w:val="24"/>
          <w:szCs w:val="24"/>
        </w:rPr>
        <w:t>2</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44" w:anchor="_Toc3431" w:history="1">
        <w:r w:rsidR="00ED623C" w:rsidRPr="00ED623C">
          <w:rPr>
            <w:rFonts w:ascii="Calibri" w:eastAsia="宋体" w:hAnsi="Calibri" w:cs="Times New Roman" w:hint="eastAsia"/>
            <w:color w:val="0000FF"/>
            <w:sz w:val="24"/>
            <w:szCs w:val="24"/>
            <w:u w:val="single"/>
          </w:rPr>
          <w:t>（二）更新</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_Toc3431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33</w:t>
        </w:r>
        <w:r w:rsidRPr="00ED623C">
          <w:rPr>
            <w:rFonts w:ascii="Calibri" w:eastAsia="宋体" w:hAnsi="Calibri" w:cs="Times New Roman"/>
            <w:color w:val="0000FF"/>
            <w:sz w:val="24"/>
            <w:szCs w:val="24"/>
            <w:u w:val="single"/>
          </w:rPr>
          <w:fldChar w:fldCharType="end"/>
        </w:r>
      </w:hyperlink>
      <w:r w:rsidR="00ED623C" w:rsidRPr="00ED623C">
        <w:rPr>
          <w:rFonts w:ascii="Calibri" w:eastAsia="仿宋" w:hAnsi="仿宋" w:cs="仿宋"/>
          <w:bCs/>
          <w:sz w:val="24"/>
          <w:szCs w:val="24"/>
        </w:rPr>
        <w:t>3</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45" w:anchor="_Toc20333" w:history="1">
        <w:r w:rsidR="00ED623C" w:rsidRPr="00ED623C">
          <w:rPr>
            <w:rFonts w:ascii="Calibri" w:eastAsia="宋体" w:hAnsi="Calibri" w:cs="Times New Roman" w:hint="eastAsia"/>
            <w:color w:val="0000FF"/>
            <w:sz w:val="24"/>
            <w:szCs w:val="24"/>
            <w:u w:val="single"/>
          </w:rPr>
          <w:t>（三）沟通</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_Toc20333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34</w:t>
        </w:r>
        <w:r w:rsidRPr="00ED623C">
          <w:rPr>
            <w:rFonts w:ascii="Calibri" w:eastAsia="宋体" w:hAnsi="Calibri" w:cs="Times New Roman"/>
            <w:color w:val="0000FF"/>
            <w:sz w:val="24"/>
            <w:szCs w:val="24"/>
            <w:u w:val="single"/>
          </w:rPr>
          <w:fldChar w:fldCharType="end"/>
        </w:r>
      </w:hyperlink>
      <w:r w:rsidR="00ED623C" w:rsidRPr="00ED623C">
        <w:rPr>
          <w:rFonts w:ascii="Calibri" w:eastAsia="仿宋" w:hAnsi="仿宋" w:cs="仿宋"/>
          <w:bCs/>
          <w:sz w:val="24"/>
          <w:szCs w:val="24"/>
        </w:rPr>
        <w:t>4</w:t>
      </w:r>
    </w:p>
    <w:p w:rsidR="00ED623C" w:rsidRPr="00ED623C" w:rsidRDefault="00AF402D" w:rsidP="00ED623C">
      <w:pPr>
        <w:tabs>
          <w:tab w:val="right" w:leader="dot" w:pos="9208"/>
        </w:tabs>
        <w:spacing w:line="276" w:lineRule="auto"/>
        <w:ind w:leftChars="400" w:left="840"/>
        <w:jc w:val="left"/>
        <w:rPr>
          <w:rFonts w:ascii="Calibri" w:eastAsia="宋体" w:hAnsi="Calibri" w:cs="Times New Roman"/>
          <w:sz w:val="24"/>
          <w:szCs w:val="24"/>
        </w:rPr>
      </w:pPr>
      <w:hyperlink r:id="rId46" w:anchor="_Toc1452" w:history="1">
        <w:r w:rsidR="00ED623C" w:rsidRPr="00ED623C">
          <w:rPr>
            <w:rFonts w:ascii="Calibri" w:eastAsia="宋体" w:hAnsi="Calibri" w:cs="Times New Roman" w:hint="eastAsia"/>
            <w:color w:val="0000FF"/>
            <w:sz w:val="24"/>
            <w:szCs w:val="24"/>
            <w:u w:val="single"/>
          </w:rPr>
          <w:t>（四）考核</w:t>
        </w:r>
        <w:r w:rsidR="00ED623C" w:rsidRPr="00ED623C">
          <w:rPr>
            <w:rFonts w:ascii="Calibri" w:eastAsia="宋体" w:hAnsi="Calibri" w:cs="Times New Roman"/>
            <w:color w:val="0000FF"/>
            <w:sz w:val="24"/>
            <w:szCs w:val="24"/>
            <w:u w:val="single"/>
          </w:rPr>
          <w:tab/>
        </w:r>
        <w:r w:rsidRPr="00ED623C">
          <w:rPr>
            <w:rFonts w:ascii="Calibri" w:eastAsia="宋体" w:hAnsi="Calibri" w:cs="Times New Roman"/>
            <w:color w:val="0000FF"/>
            <w:sz w:val="24"/>
            <w:szCs w:val="24"/>
            <w:u w:val="single"/>
          </w:rPr>
          <w:fldChar w:fldCharType="begin"/>
        </w:r>
        <w:r w:rsidR="00ED623C" w:rsidRPr="00ED623C">
          <w:rPr>
            <w:rFonts w:ascii="Calibri" w:eastAsia="宋体" w:hAnsi="Calibri" w:cs="Times New Roman"/>
            <w:color w:val="0000FF"/>
            <w:sz w:val="24"/>
            <w:szCs w:val="24"/>
            <w:u w:val="single"/>
          </w:rPr>
          <w:instrText xml:space="preserve"> PAGEREF _Toc1452 </w:instrText>
        </w:r>
        <w:r w:rsidRPr="00ED623C">
          <w:rPr>
            <w:rFonts w:ascii="Calibri" w:eastAsia="宋体" w:hAnsi="Calibri" w:cs="Times New Roman"/>
            <w:color w:val="0000FF"/>
            <w:sz w:val="24"/>
            <w:szCs w:val="24"/>
            <w:u w:val="single"/>
          </w:rPr>
          <w:fldChar w:fldCharType="separate"/>
        </w:r>
        <w:r w:rsidR="004711F4">
          <w:rPr>
            <w:rFonts w:ascii="Calibri" w:eastAsia="宋体" w:hAnsi="Calibri" w:cs="Times New Roman"/>
            <w:noProof/>
            <w:color w:val="0000FF"/>
            <w:sz w:val="24"/>
            <w:szCs w:val="24"/>
            <w:u w:val="single"/>
          </w:rPr>
          <w:t>34</w:t>
        </w:r>
        <w:r w:rsidRPr="00ED623C">
          <w:rPr>
            <w:rFonts w:ascii="Calibri" w:eastAsia="宋体" w:hAnsi="Calibri" w:cs="Times New Roman"/>
            <w:color w:val="0000FF"/>
            <w:sz w:val="24"/>
            <w:szCs w:val="24"/>
            <w:u w:val="single"/>
          </w:rPr>
          <w:fldChar w:fldCharType="end"/>
        </w:r>
      </w:hyperlink>
      <w:r w:rsidR="00ED623C" w:rsidRPr="00ED623C">
        <w:rPr>
          <w:rFonts w:ascii="Calibri" w:eastAsia="仿宋" w:hAnsi="仿宋" w:cs="仿宋"/>
          <w:bCs/>
          <w:sz w:val="24"/>
          <w:szCs w:val="24"/>
        </w:rPr>
        <w:t>4</w:t>
      </w:r>
    </w:p>
    <w:p w:rsidR="00ED623C" w:rsidRPr="00ED623C" w:rsidRDefault="00AF402D" w:rsidP="00ED623C">
      <w:pPr>
        <w:spacing w:line="276" w:lineRule="auto"/>
        <w:jc w:val="left"/>
        <w:rPr>
          <w:rFonts w:ascii="仿宋" w:eastAsia="仿宋" w:hAnsi="仿宋" w:cs="仿宋"/>
          <w:b/>
          <w:bCs/>
          <w:sz w:val="24"/>
          <w:szCs w:val="24"/>
        </w:rPr>
      </w:pPr>
      <w:r w:rsidRPr="00ED623C">
        <w:rPr>
          <w:rFonts w:ascii="仿宋" w:eastAsia="仿宋" w:hAnsi="仿宋" w:cs="仿宋" w:hint="eastAsia"/>
          <w:b/>
          <w:bCs/>
          <w:sz w:val="24"/>
          <w:szCs w:val="24"/>
        </w:rPr>
        <w:fldChar w:fldCharType="end"/>
      </w:r>
    </w:p>
    <w:p w:rsidR="00ED623C" w:rsidRPr="00ED623C" w:rsidRDefault="00ED623C" w:rsidP="00ED623C">
      <w:pPr>
        <w:rPr>
          <w:rFonts w:ascii="仿宋" w:eastAsia="仿宋" w:hAnsi="仿宋" w:cs="仿宋"/>
          <w:b/>
          <w:bCs/>
          <w:sz w:val="24"/>
          <w:szCs w:val="24"/>
        </w:rPr>
      </w:pPr>
    </w:p>
    <w:p w:rsidR="00ED623C" w:rsidRPr="00ED623C" w:rsidRDefault="00ED623C" w:rsidP="00ED623C">
      <w:pPr>
        <w:widowControl/>
        <w:spacing w:beforeAutospacing="1" w:afterAutospacing="1" w:line="576" w:lineRule="auto"/>
        <w:jc w:val="left"/>
        <w:rPr>
          <w:rFonts w:ascii="Calibri" w:eastAsia="宋体" w:hAnsi="Calibri" w:cs="Times New Roman"/>
          <w:b/>
          <w:kern w:val="44"/>
          <w:sz w:val="44"/>
          <w:szCs w:val="24"/>
        </w:rPr>
        <w:sectPr w:rsidR="00ED623C" w:rsidRPr="00ED623C" w:rsidSect="00ED623C">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pgNumType w:start="1"/>
          <w:cols w:space="720"/>
          <w:docGrid w:type="lines" w:linePitch="312"/>
        </w:sectPr>
      </w:pPr>
    </w:p>
    <w:p w:rsidR="00ED623C" w:rsidRPr="00ED623C" w:rsidRDefault="00ED623C" w:rsidP="00ED623C">
      <w:pPr>
        <w:keepNext/>
        <w:keepLines/>
        <w:spacing w:before="340" w:after="330" w:line="576" w:lineRule="auto"/>
        <w:outlineLvl w:val="0"/>
        <w:rPr>
          <w:rFonts w:ascii="Calibri" w:eastAsia="宋体" w:hAnsi="Calibri" w:cs="宋体"/>
          <w:b/>
          <w:kern w:val="44"/>
          <w:sz w:val="44"/>
          <w:szCs w:val="24"/>
        </w:rPr>
      </w:pPr>
      <w:bookmarkStart w:id="0" w:name="_Toc14225"/>
      <w:r w:rsidRPr="00ED623C">
        <w:rPr>
          <w:rFonts w:ascii="Calibri" w:eastAsia="宋体" w:hAnsi="Calibri" w:cs="宋体" w:hint="eastAsia"/>
          <w:b/>
          <w:kern w:val="44"/>
          <w:sz w:val="44"/>
          <w:szCs w:val="24"/>
        </w:rPr>
        <w:lastRenderedPageBreak/>
        <w:t>第一部分：专业术语的掌握</w:t>
      </w:r>
      <w:bookmarkEnd w:id="0"/>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1、双重预防体系</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双重预防体系就是风险分级管控体系和隐患排查治理体系。</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双重预防体系是构筑防范安全事故的前后两道防线。通过这一系统性的风险管理工程，把每一类风险都控制在可接受范围内，把每一个隐患都治理在形成之初，把每一起事故都消灭在萌芽状态。</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 xml:space="preserve"> 第一道防线是管风险。以安全风险辨识和管控为基础，从源头上系统辨识风险、分级管控风险，努力把各类风险控制在可接受范围内，杜绝和减少事故隐患；第二道防线是治隐患。以隐患排查和治理为手段，认真排查风险管控过程中出现的缺失、漏洞和风险控制失效环节，坚决把隐患消灭在事故发生之前。</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2、双体系建设这个名词的来历</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2016 年1月6 日，习近平总书记在中央政治局常委会上发表重要讲话，强调“对易发生重特大事故的行业领域采取风险分级管控、隐患排查治理双重预防性工作机制，推动安全生产关口前移”。安全关口前移的意思是什么？就是在事故发生之前，把事故消除掉。</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3、贯彻执行双重预防体系的实施</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根据中央指示精神，省级文件要求，市级深化落实要吃透政府文件精神，保证实施过程目标清晰、方向明确；紧跟政府导向，不断修正和改进，确保不走弯路、不做无用功。</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4、双重预防体系评审</w:t>
      </w:r>
    </w:p>
    <w:p w:rsid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lastRenderedPageBreak/>
        <w:t>通过获取客观证据，确定风险管控与隐患治理双重预防体系的充分性和有效性而进行的系统的、独立的分析研究的全过程。</w:t>
      </w:r>
    </w:p>
    <w:p w:rsidR="004711F4" w:rsidRPr="00ED623C" w:rsidRDefault="004711F4" w:rsidP="00ED623C">
      <w:pPr>
        <w:ind w:firstLineChars="200" w:firstLine="560"/>
        <w:rPr>
          <w:rFonts w:ascii="仿宋" w:eastAsia="仿宋" w:hAnsi="仿宋" w:cs="仿宋"/>
          <w:sz w:val="28"/>
          <w:szCs w:val="28"/>
        </w:rPr>
      </w:pPr>
      <w:bookmarkStart w:id="1" w:name="_GoBack"/>
      <w:r>
        <w:rPr>
          <w:rFonts w:ascii="仿宋" w:eastAsia="仿宋" w:hAnsi="仿宋" w:cs="仿宋"/>
          <w:noProof/>
          <w:sz w:val="28"/>
          <w:szCs w:val="28"/>
        </w:rPr>
        <w:drawing>
          <wp:inline distT="0" distB="0" distL="0" distR="0">
            <wp:extent cx="5274310" cy="2109470"/>
            <wp:effectExtent l="0" t="0" r="254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安全小课桌二维码-蓝边.png"/>
                    <pic:cNvPicPr/>
                  </pic:nvPicPr>
                  <pic:blipFill>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2109470"/>
                    </a:xfrm>
                    <a:prstGeom prst="rect">
                      <a:avLst/>
                    </a:prstGeom>
                  </pic:spPr>
                </pic:pic>
              </a:graphicData>
            </a:graphic>
          </wp:inline>
        </w:drawing>
      </w:r>
      <w:bookmarkEnd w:id="1"/>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5、风险</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风险(R)：发生危险事件和危害暴露的可能性，与随之引发的人身伤害或健康损害或财产损失或环境破坏的严重性的组合。</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可能性（L）：是指事故（事件）发生的概率。</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严重性（S）：是指事故（事件）一旦发生后，将造成的人员伤害和经济损失的严重程度。</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风险（R）= 可能性（L） × 严重性（S）</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管控级别为：分四级，代表颜色：红（公司）、橙（车间）、黄（班组）、蓝（岗位），也及时我们所平时说的：1-4级风险点分级。</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6、风险的类别</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（1）固有风险—设备、设施、场所等本身固有（赋存、带有）</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的能量（电能、势能、机械能、热能等）；危险物质（我公司：易燃易爆物品、木模板、方木、安全网）燃烧、爆炸等产生能量或有害物质。</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现实风险 — 人员的不安全行为、物的不安全状态、环境的不安</w:t>
      </w:r>
      <w:r w:rsidRPr="00ED623C">
        <w:rPr>
          <w:rFonts w:ascii="仿宋" w:eastAsia="仿宋" w:hAnsi="仿宋" w:cs="仿宋" w:hint="eastAsia"/>
          <w:sz w:val="28"/>
          <w:szCs w:val="28"/>
        </w:rPr>
        <w:lastRenderedPageBreak/>
        <w:t>全 因素及安全管理缺陷。</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潜在风险 — 管理体系不完善、不健全可能导致现实风险发生的各类因素；违背法规及标准规程，如各类人员的安全资格培训、特种作业人员培训、特种设备检测检验、职业健康安全与消防投入及验收等。</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7、危险源</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危险源：可单独或共同引发事故（事件）的内在要素、根源、状态、行为，或其组合。包括第一类危险源和第二类危险隐患。</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第一类危险源：生产过程中客观存在的、可能发生意外释放的能量（能量源或能量载体）或危险物质，是事故发生的前提。如人员高危作业、吊装物、可燃或有毒气体、压力容器等；</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第二类危险源：导致约束、限制能量和危险物质措施失控的各种（人、机、物、环、管）不安全因素，是第一类危险源发生事故的前提。如人的失误、物的故障、环境不良、管理缺陷等。</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 xml:space="preserve">在双重预防体系建设中危险源可称为危险有害因素，分为：人的因素、物的因素、环境因素和管理因素四类。 </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8、风险点</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风险点：是伴随风险的设施、部位、场所和区域，以及在特定部位、设施、设备和场所区域实施的伴随风险的作业活动（过程），或以上两者的组合。</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注：风险点里包含有几个或者多个危险源，风险点的范围大于危险源。</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lastRenderedPageBreak/>
        <w:t>9、可接受风险</w:t>
      </w:r>
      <w:r w:rsidRPr="00ED623C">
        <w:rPr>
          <w:rFonts w:ascii="仿宋" w:eastAsia="仿宋" w:hAnsi="仿宋" w:cs="仿宋" w:hint="eastAsia"/>
          <w:sz w:val="28"/>
          <w:szCs w:val="28"/>
        </w:rPr>
        <w:tab/>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根据法律义务已被集团公司降至可容许可接受程度的风险。</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10、重大风险</w:t>
      </w:r>
      <w:r w:rsidRPr="00ED623C">
        <w:rPr>
          <w:rFonts w:ascii="仿宋" w:eastAsia="仿宋" w:hAnsi="仿宋" w:cs="仿宋" w:hint="eastAsia"/>
          <w:sz w:val="28"/>
          <w:szCs w:val="28"/>
        </w:rPr>
        <w:tab/>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风险值超过准则规定标准的风险类型。</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11、类别风险</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同一行业（区域）共性风险的集合。通常表现为行业（区域或场所或部位）与事故类型的组合。</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12、点位风险</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在某以地理坐标上类别风险的具体表现形式。</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13、风险准则</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风险评价（评估）的依据或原则</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14、风险辨识（危险源辨识）</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发现、确认和描述风险的存在、空间分布并确定其特性的过程。</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 xml:space="preserve">15、风险分析 </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对风险发生的可能性和后果严重性进行定性分析和定量计算，理解风险性质，确定风险等级的过程。</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16、风险评价</w:t>
      </w:r>
      <w:r w:rsidRPr="00ED623C">
        <w:rPr>
          <w:rFonts w:ascii="仿宋" w:eastAsia="仿宋" w:hAnsi="仿宋" w:cs="仿宋" w:hint="eastAsia"/>
          <w:sz w:val="28"/>
          <w:szCs w:val="28"/>
        </w:rPr>
        <w:tab/>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对危险源所伴随的风险进行定性和定量的分析预判，以确定风险等级大小，分析论证现有管控措施的充分性，以及是否可接受或可容许的过程。风险评价的过程也是风险分级的过程。</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17、风险分级</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集团公司根据法律、法规、标准要求并结合自身实际，在风险评</w:t>
      </w:r>
      <w:r w:rsidRPr="00ED623C">
        <w:rPr>
          <w:rFonts w:ascii="仿宋" w:eastAsia="仿宋" w:hAnsi="仿宋" w:cs="仿宋" w:hint="eastAsia"/>
          <w:sz w:val="28"/>
          <w:szCs w:val="28"/>
        </w:rPr>
        <w:lastRenderedPageBreak/>
        <w:t>价的基础上，通过采用科学、合理方法对危险源所伴随的风险进行定性或定量评价，确定风险可接受程度，根据评价结果划分风险等级。风险等级从高到低依次划分为重大风险、较大风险、一般风险和低风险，分别用红、橙、黄、蓝四种颜色标示。</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 xml:space="preserve">18、风险评估 </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对风险的总体认识，包括风险辨识、风险分析、风险分级、风险评价和管控措施有效性判定的全过程。</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19、剩余风险</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原有风险应对之后任然存在的风险。包括尚未识别的风险。</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20、风险集成</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将多个风险综合为一个风险，以便更全面的把握总体风险。</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21、风险管控</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处理风险的措施和过程。是风险控制和隐患治理的总称。</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 xml:space="preserve">22、风险分级管控 </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按照风险的不同级别、所需管控资源、管控能力、管控措施复杂及难易程度等因素，从而确定不同管控层级的风险管控方式和管控责任。</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 xml:space="preserve">23、风险管控措施  </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集团公司为将风险降低至可接受程度，针对该风险采取的管控方法和措施。通常包括：工程技术措施、行政管理措施、教育培训措施、个体防护措施和应急处置措施等。</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24、风险信息</w:t>
      </w:r>
      <w:r w:rsidRPr="00ED623C">
        <w:rPr>
          <w:rFonts w:ascii="仿宋" w:eastAsia="仿宋" w:hAnsi="仿宋" w:cs="仿宋" w:hint="eastAsia"/>
          <w:sz w:val="28"/>
          <w:szCs w:val="28"/>
        </w:rPr>
        <w:tab/>
        <w:t xml:space="preserve"> </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lastRenderedPageBreak/>
        <w:t>包括风险点名称、危险源名称、类型、所在位置、当前状态以及伴随风险大小、等级、所需管控措施、责任单位、责任人等一系列信息的综合。</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25、风险清单</w:t>
      </w:r>
      <w:r w:rsidRPr="00ED623C">
        <w:rPr>
          <w:rFonts w:ascii="仿宋" w:eastAsia="仿宋" w:hAnsi="仿宋" w:cs="仿宋" w:hint="eastAsia"/>
          <w:sz w:val="28"/>
          <w:szCs w:val="28"/>
        </w:rPr>
        <w:tab/>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集团公司各类风险信息的汇总集合。主要包括：作业场所清单、设施设备清单、作业活动清单、安全责任清单等。</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26、风险矩阵</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通过确定后果与可能性的范围来排列显示风险的工具。</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27、风险描述</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对风险所做的结构化的表述。主要包括四个方面：危险源、事件、原因和后果</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 xml:space="preserve">28、隐患 </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公司违反安全生产法律、法规、规章、标准、规程和安全生产管理制度的规定；或者因其他因素在生产经营活动中存在可能导致事故发生的物的危险状态、人的不安全行为和管理上的缺陷。</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29、隐患排查</w:t>
      </w:r>
      <w:r w:rsidRPr="00ED623C">
        <w:rPr>
          <w:rFonts w:ascii="仿宋" w:eastAsia="仿宋" w:hAnsi="仿宋" w:cs="仿宋" w:hint="eastAsia"/>
          <w:sz w:val="28"/>
          <w:szCs w:val="28"/>
        </w:rPr>
        <w:tab/>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组织安全生产管理人员、工程技术人员、岗位员工以及其他相关人员依据国家法律法规、标准和公司管理制度，采取一定的方式和方法，对照风险分级管控措施的有效落实情况，对本单位的事故隐患进行排查的工作过程。</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30、隐患清单</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公司将法律法规、标准规范和规章制度的要求，以条理化的形式</w:t>
      </w:r>
      <w:r w:rsidRPr="00ED623C">
        <w:rPr>
          <w:rFonts w:ascii="仿宋" w:eastAsia="仿宋" w:hAnsi="仿宋" w:cs="仿宋" w:hint="eastAsia"/>
          <w:sz w:val="28"/>
          <w:szCs w:val="28"/>
        </w:rPr>
        <w:lastRenderedPageBreak/>
        <w:t>对相关管理活动的内容进行细化、量化，一条条清晰明细的罗列出管理内容或控制要点的所有不符合项，简单、方便、快捷地反映出动态化的管理痕迹,并能追溯整个管理过程的来龙去脉,更能体现安全生产管理的透明度、开放度和清晰度。</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31、隐患治理</w:t>
      </w:r>
      <w:r w:rsidRPr="00ED623C">
        <w:rPr>
          <w:rFonts w:ascii="仿宋" w:eastAsia="仿宋" w:hAnsi="仿宋" w:cs="仿宋" w:hint="eastAsia"/>
          <w:sz w:val="28"/>
          <w:szCs w:val="28"/>
        </w:rPr>
        <w:tab/>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消除或控制隐患的活动或过程。</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32、隐患信息</w:t>
      </w:r>
      <w:r w:rsidRPr="00ED623C">
        <w:rPr>
          <w:rFonts w:ascii="仿宋" w:eastAsia="仿宋" w:hAnsi="仿宋" w:cs="仿宋" w:hint="eastAsia"/>
          <w:sz w:val="28"/>
          <w:szCs w:val="28"/>
        </w:rPr>
        <w:tab/>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包括隐患名称、位置、状态描述、可能导致后果及其严重程度、隐患信息公告、隐患信息报送、治理目标、治理措施、职责划分、治理期限、验收复核、摘牌销案、建立台账、闭环管理等全过程记录信息的总称。</w:t>
      </w:r>
    </w:p>
    <w:p w:rsidR="00ED623C" w:rsidRPr="00ED623C" w:rsidRDefault="00ED623C" w:rsidP="00ED623C">
      <w:pPr>
        <w:keepNext/>
        <w:keepLines/>
        <w:spacing w:before="340" w:after="330" w:line="576" w:lineRule="auto"/>
        <w:outlineLvl w:val="0"/>
        <w:rPr>
          <w:rFonts w:ascii="Calibri" w:eastAsia="宋体" w:hAnsi="Calibri" w:cs="宋体"/>
          <w:b/>
          <w:kern w:val="44"/>
          <w:sz w:val="44"/>
          <w:szCs w:val="24"/>
        </w:rPr>
      </w:pPr>
      <w:bookmarkStart w:id="2" w:name="_Toc11899"/>
      <w:r w:rsidRPr="00ED623C">
        <w:rPr>
          <w:rFonts w:ascii="Calibri" w:eastAsia="宋体" w:hAnsi="Calibri" w:cs="宋体" w:hint="eastAsia"/>
          <w:b/>
          <w:kern w:val="44"/>
          <w:sz w:val="44"/>
          <w:szCs w:val="24"/>
        </w:rPr>
        <w:t>第二部分：双重预防体系构建与运行</w:t>
      </w:r>
      <w:bookmarkEnd w:id="2"/>
    </w:p>
    <w:p w:rsidR="00ED623C" w:rsidRPr="00ED623C" w:rsidRDefault="00ED623C" w:rsidP="00ED623C">
      <w:pPr>
        <w:keepNext/>
        <w:keepLines/>
        <w:spacing w:before="260" w:after="260" w:line="412" w:lineRule="auto"/>
        <w:outlineLvl w:val="1"/>
        <w:rPr>
          <w:rFonts w:ascii="Arial" w:eastAsia="黑体" w:hAnsi="Arial" w:cs="Times New Roman"/>
          <w:b/>
          <w:sz w:val="32"/>
          <w:szCs w:val="24"/>
        </w:rPr>
      </w:pPr>
      <w:bookmarkStart w:id="3" w:name="_Toc22731"/>
      <w:r w:rsidRPr="00ED623C">
        <w:rPr>
          <w:rFonts w:ascii="Arial" w:eastAsia="黑体" w:hAnsi="Arial" w:cs="Times New Roman" w:hint="eastAsia"/>
          <w:b/>
          <w:sz w:val="32"/>
          <w:szCs w:val="24"/>
        </w:rPr>
        <w:t>一、成立组织机构</w:t>
      </w:r>
      <w:bookmarkEnd w:id="3"/>
    </w:p>
    <w:p w:rsidR="00ED623C" w:rsidRPr="00ED623C" w:rsidRDefault="00ED623C" w:rsidP="00ED623C">
      <w:pPr>
        <w:numPr>
          <w:ilvl w:val="0"/>
          <w:numId w:val="1"/>
        </w:numPr>
        <w:tabs>
          <w:tab w:val="left" w:pos="12462"/>
        </w:tabs>
        <w:jc w:val="left"/>
        <w:rPr>
          <w:rFonts w:ascii="仿宋" w:eastAsia="仿宋" w:hAnsi="仿宋" w:cs="仿宋"/>
          <w:sz w:val="28"/>
          <w:szCs w:val="28"/>
        </w:rPr>
      </w:pPr>
      <w:r w:rsidRPr="00ED623C">
        <w:rPr>
          <w:rFonts w:ascii="仿宋" w:eastAsia="仿宋" w:hAnsi="仿宋" w:cs="仿宋" w:hint="eastAsia"/>
          <w:sz w:val="28"/>
          <w:szCs w:val="28"/>
        </w:rPr>
        <w:t>公司双重预防体系领导小组；</w:t>
      </w:r>
    </w:p>
    <w:p w:rsidR="00ED623C" w:rsidRPr="00ED623C" w:rsidRDefault="00ED623C" w:rsidP="00ED623C">
      <w:pPr>
        <w:tabs>
          <w:tab w:val="left" w:pos="12462"/>
        </w:tabs>
        <w:ind w:left="560"/>
        <w:jc w:val="left"/>
        <w:rPr>
          <w:rFonts w:ascii="仿宋" w:eastAsia="仿宋" w:hAnsi="仿宋" w:cs="仿宋"/>
          <w:sz w:val="28"/>
          <w:szCs w:val="28"/>
        </w:rPr>
      </w:pPr>
      <w:r w:rsidRPr="00ED623C">
        <w:rPr>
          <w:rFonts w:ascii="仿宋" w:eastAsia="仿宋" w:hAnsi="仿宋" w:cs="仿宋" w:hint="eastAsia"/>
          <w:sz w:val="28"/>
          <w:szCs w:val="28"/>
        </w:rPr>
        <w:t>组长：王群都负责组织双重预防体系建设工作的开展，领导小组成员做好组织、协调、计划、实施、总结、归纳、汇总、上报、专家审核等过程的工作，负责双体系建设的总体协调和推进。</w:t>
      </w:r>
    </w:p>
    <w:p w:rsidR="00ED623C" w:rsidRPr="00ED623C" w:rsidRDefault="00ED623C" w:rsidP="00ED623C">
      <w:pPr>
        <w:tabs>
          <w:tab w:val="left" w:pos="12462"/>
        </w:tabs>
        <w:ind w:left="560"/>
        <w:jc w:val="left"/>
        <w:rPr>
          <w:rFonts w:ascii="仿宋" w:eastAsia="仿宋" w:hAnsi="仿宋" w:cs="仿宋"/>
          <w:sz w:val="28"/>
          <w:szCs w:val="28"/>
        </w:rPr>
      </w:pPr>
      <w:r w:rsidRPr="00ED623C">
        <w:rPr>
          <w:rFonts w:ascii="仿宋" w:eastAsia="仿宋" w:hAnsi="仿宋" w:cs="仿宋" w:hint="eastAsia"/>
          <w:sz w:val="28"/>
          <w:szCs w:val="28"/>
        </w:rPr>
        <w:t>副组长：</w:t>
      </w:r>
      <w:r w:rsidRPr="00ED623C">
        <w:rPr>
          <w:rFonts w:ascii="仿宋" w:eastAsia="仿宋" w:hAnsi="仿宋" w:cs="仿宋" w:hint="eastAsia"/>
          <w:sz w:val="30"/>
          <w:szCs w:val="30"/>
        </w:rPr>
        <w:t>王丹枫 王若峰 翟进</w:t>
      </w:r>
      <w:r w:rsidRPr="00ED623C">
        <w:rPr>
          <w:rFonts w:ascii="仿宋" w:eastAsia="仿宋" w:hAnsi="仿宋" w:cs="仿宋" w:hint="eastAsia"/>
          <w:sz w:val="28"/>
          <w:szCs w:val="28"/>
        </w:rPr>
        <w:t>负责体系建设工作组织协调、过程培训、技术指导，完成公司双重预防体系文件的编制，对体系建设过程中各部门提出奖惩建议。</w:t>
      </w:r>
    </w:p>
    <w:p w:rsidR="00ED623C" w:rsidRPr="00ED623C" w:rsidRDefault="00ED623C" w:rsidP="00ED623C">
      <w:pPr>
        <w:tabs>
          <w:tab w:val="left" w:pos="12462"/>
        </w:tabs>
        <w:ind w:left="560"/>
        <w:jc w:val="left"/>
        <w:rPr>
          <w:rFonts w:ascii="仿宋" w:eastAsia="仿宋" w:hAnsi="仿宋" w:cs="仿宋"/>
          <w:sz w:val="28"/>
          <w:szCs w:val="28"/>
        </w:rPr>
      </w:pPr>
      <w:r w:rsidRPr="00ED623C">
        <w:rPr>
          <w:rFonts w:ascii="仿宋" w:eastAsia="仿宋" w:hAnsi="仿宋" w:cs="仿宋" w:hint="eastAsia"/>
          <w:sz w:val="28"/>
          <w:szCs w:val="28"/>
        </w:rPr>
        <w:lastRenderedPageBreak/>
        <w:t>组员：公司各职能部门负责人、分公司及项目部负责人，负责双重预防体系具体工作的开展与实施，并对结果负责。</w:t>
      </w:r>
    </w:p>
    <w:p w:rsidR="00ED623C" w:rsidRPr="00ED623C" w:rsidRDefault="00ED623C" w:rsidP="00ED623C">
      <w:pPr>
        <w:numPr>
          <w:ilvl w:val="0"/>
          <w:numId w:val="1"/>
        </w:numPr>
        <w:tabs>
          <w:tab w:val="left" w:pos="12462"/>
        </w:tabs>
        <w:jc w:val="left"/>
        <w:rPr>
          <w:rFonts w:ascii="仿宋" w:eastAsia="仿宋" w:hAnsi="仿宋" w:cs="仿宋"/>
          <w:sz w:val="28"/>
          <w:szCs w:val="28"/>
        </w:rPr>
      </w:pPr>
      <w:r w:rsidRPr="00ED623C">
        <w:rPr>
          <w:rFonts w:ascii="仿宋" w:eastAsia="仿宋" w:hAnsi="仿宋" w:cs="仿宋" w:hint="eastAsia"/>
          <w:sz w:val="28"/>
          <w:szCs w:val="28"/>
        </w:rPr>
        <w:t>二级双重预防体系领导小组；</w:t>
      </w:r>
    </w:p>
    <w:p w:rsidR="00ED623C" w:rsidRPr="00ED623C" w:rsidRDefault="00ED623C" w:rsidP="00ED623C">
      <w:pPr>
        <w:tabs>
          <w:tab w:val="left" w:pos="12462"/>
        </w:tabs>
        <w:ind w:left="560"/>
        <w:jc w:val="left"/>
        <w:rPr>
          <w:rFonts w:ascii="仿宋" w:eastAsia="仿宋" w:hAnsi="仿宋" w:cs="仿宋"/>
          <w:sz w:val="28"/>
          <w:szCs w:val="28"/>
        </w:rPr>
      </w:pPr>
      <w:r w:rsidRPr="00ED623C">
        <w:rPr>
          <w:rFonts w:ascii="仿宋" w:eastAsia="仿宋" w:hAnsi="仿宋" w:cs="仿宋" w:hint="eastAsia"/>
          <w:sz w:val="28"/>
          <w:szCs w:val="28"/>
        </w:rPr>
        <w:t>各分公司分别建立由本单位第一责任人为组长的二级双重预防体系构建领导小组，负责本单位的双重预防体系构建工作。</w:t>
      </w:r>
    </w:p>
    <w:p w:rsidR="00ED623C" w:rsidRPr="00ED623C" w:rsidRDefault="00ED623C" w:rsidP="00ED623C">
      <w:pPr>
        <w:numPr>
          <w:ilvl w:val="0"/>
          <w:numId w:val="1"/>
        </w:numPr>
        <w:tabs>
          <w:tab w:val="left" w:pos="12462"/>
        </w:tabs>
        <w:jc w:val="left"/>
        <w:rPr>
          <w:rFonts w:ascii="仿宋" w:eastAsia="仿宋" w:hAnsi="仿宋" w:cs="仿宋"/>
          <w:sz w:val="28"/>
          <w:szCs w:val="28"/>
        </w:rPr>
      </w:pPr>
      <w:r w:rsidRPr="00ED623C">
        <w:rPr>
          <w:rFonts w:ascii="仿宋" w:eastAsia="仿宋" w:hAnsi="仿宋" w:cs="仿宋" w:hint="eastAsia"/>
          <w:sz w:val="28"/>
          <w:szCs w:val="28"/>
        </w:rPr>
        <w:t>三级双重预防体系领导小组；</w:t>
      </w:r>
    </w:p>
    <w:p w:rsidR="00ED623C" w:rsidRPr="00ED623C" w:rsidRDefault="00ED623C" w:rsidP="00ED623C">
      <w:pPr>
        <w:tabs>
          <w:tab w:val="left" w:pos="12462"/>
        </w:tabs>
        <w:ind w:left="560"/>
        <w:jc w:val="left"/>
        <w:rPr>
          <w:rFonts w:ascii="仿宋" w:eastAsia="仿宋" w:hAnsi="仿宋" w:cs="仿宋"/>
          <w:sz w:val="28"/>
          <w:szCs w:val="28"/>
        </w:rPr>
      </w:pPr>
      <w:r w:rsidRPr="00ED623C">
        <w:rPr>
          <w:rFonts w:ascii="仿宋" w:eastAsia="仿宋" w:hAnsi="仿宋" w:cs="仿宋" w:hint="eastAsia"/>
          <w:sz w:val="28"/>
          <w:szCs w:val="28"/>
        </w:rPr>
        <w:t>各工程项目分别建立以项目经理为组长的三级双重预防体系领导小组，负责本工程的双重预防体系构建工作。</w:t>
      </w:r>
    </w:p>
    <w:p w:rsidR="00ED623C" w:rsidRPr="00ED623C" w:rsidRDefault="00ED623C" w:rsidP="00ED623C">
      <w:pPr>
        <w:keepNext/>
        <w:keepLines/>
        <w:spacing w:before="260" w:after="260" w:line="412" w:lineRule="auto"/>
        <w:outlineLvl w:val="1"/>
        <w:rPr>
          <w:rFonts w:ascii="Arial" w:eastAsia="黑体" w:hAnsi="Arial" w:cs="Times New Roman"/>
          <w:b/>
          <w:sz w:val="32"/>
          <w:szCs w:val="24"/>
        </w:rPr>
      </w:pPr>
      <w:bookmarkStart w:id="4" w:name="_Toc999"/>
      <w:r w:rsidRPr="00ED623C">
        <w:rPr>
          <w:rFonts w:ascii="Arial" w:eastAsia="黑体" w:hAnsi="Arial" w:cs="Times New Roman" w:hint="eastAsia"/>
          <w:b/>
          <w:sz w:val="32"/>
          <w:szCs w:val="24"/>
        </w:rPr>
        <w:t>二、双重预防体系文件</w:t>
      </w:r>
      <w:bookmarkEnd w:id="4"/>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5" w:name="_Toc16095"/>
      <w:r w:rsidRPr="00ED623C">
        <w:rPr>
          <w:rFonts w:ascii="Calibri" w:eastAsia="宋体" w:hAnsi="Calibri" w:cs="宋体" w:hint="eastAsia"/>
          <w:b/>
          <w:sz w:val="32"/>
          <w:szCs w:val="24"/>
        </w:rPr>
        <w:t>（</w:t>
      </w:r>
      <w:r w:rsidRPr="00ED623C">
        <w:rPr>
          <w:rFonts w:ascii="Calibri" w:eastAsia="宋体" w:hAnsi="Calibri" w:cs="宋体"/>
          <w:b/>
          <w:sz w:val="32"/>
          <w:szCs w:val="24"/>
        </w:rPr>
        <w:t>1</w:t>
      </w:r>
      <w:r w:rsidRPr="00ED623C">
        <w:rPr>
          <w:rFonts w:ascii="Calibri" w:eastAsia="宋体" w:hAnsi="Calibri" w:cs="宋体" w:hint="eastAsia"/>
          <w:b/>
          <w:sz w:val="32"/>
          <w:szCs w:val="24"/>
        </w:rPr>
        <w:t>）手册</w:t>
      </w:r>
      <w:bookmarkEnd w:id="5"/>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 xml:space="preserve"> 指导手册是开展双体系建设工作的指导性和基础性文件，在不断深入推进中修订和完善，确保文件的时效性和适用性；</w:t>
      </w:r>
    </w:p>
    <w:p w:rsidR="00ED623C" w:rsidRPr="00ED623C" w:rsidRDefault="00ED623C" w:rsidP="00ED623C">
      <w:pPr>
        <w:keepNext/>
        <w:keepLines/>
        <w:spacing w:before="260" w:after="260" w:line="412" w:lineRule="auto"/>
        <w:outlineLvl w:val="2"/>
        <w:rPr>
          <w:rFonts w:ascii="Calibri" w:eastAsia="宋体" w:hAnsi="Calibri" w:cs="宋体"/>
          <w:b/>
          <w:sz w:val="28"/>
          <w:szCs w:val="28"/>
        </w:rPr>
      </w:pPr>
      <w:bookmarkStart w:id="6" w:name="_Toc27072"/>
      <w:r w:rsidRPr="00ED623C">
        <w:rPr>
          <w:rFonts w:ascii="Calibri" w:eastAsia="宋体" w:hAnsi="Calibri" w:cs="宋体" w:hint="eastAsia"/>
          <w:b/>
          <w:sz w:val="28"/>
          <w:szCs w:val="28"/>
        </w:rPr>
        <w:t>安全生产风险分级管控指导手册（附件）</w:t>
      </w:r>
      <w:bookmarkEnd w:id="6"/>
    </w:p>
    <w:p w:rsidR="00ED623C" w:rsidRPr="00ED623C" w:rsidRDefault="00ED623C" w:rsidP="00ED623C">
      <w:pPr>
        <w:keepNext/>
        <w:keepLines/>
        <w:spacing w:before="260" w:after="260" w:line="412" w:lineRule="auto"/>
        <w:outlineLvl w:val="2"/>
        <w:rPr>
          <w:rFonts w:ascii="Calibri" w:eastAsia="宋体" w:hAnsi="Calibri" w:cs="宋体"/>
          <w:b/>
          <w:sz w:val="28"/>
          <w:szCs w:val="28"/>
        </w:rPr>
      </w:pPr>
      <w:bookmarkStart w:id="7" w:name="_Toc25517"/>
      <w:r w:rsidRPr="00ED623C">
        <w:rPr>
          <w:rFonts w:ascii="Calibri" w:eastAsia="宋体" w:hAnsi="Calibri" w:cs="宋体" w:hint="eastAsia"/>
          <w:b/>
          <w:sz w:val="28"/>
          <w:szCs w:val="28"/>
        </w:rPr>
        <w:t>生产安全事故隐患排查治理指导手册（附件）</w:t>
      </w:r>
      <w:bookmarkEnd w:id="7"/>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8" w:name="_Toc7271"/>
      <w:r w:rsidRPr="00ED623C">
        <w:rPr>
          <w:rFonts w:ascii="Calibri" w:eastAsia="宋体" w:hAnsi="Calibri" w:cs="宋体" w:hint="eastAsia"/>
          <w:b/>
          <w:sz w:val="32"/>
          <w:szCs w:val="24"/>
        </w:rPr>
        <w:t>（</w:t>
      </w:r>
      <w:r w:rsidRPr="00ED623C">
        <w:rPr>
          <w:rFonts w:ascii="Calibri" w:eastAsia="宋体" w:hAnsi="Calibri" w:cs="宋体"/>
          <w:b/>
          <w:sz w:val="32"/>
          <w:szCs w:val="24"/>
        </w:rPr>
        <w:t>2</w:t>
      </w:r>
      <w:r w:rsidRPr="00ED623C">
        <w:rPr>
          <w:rFonts w:ascii="Calibri" w:eastAsia="宋体" w:hAnsi="Calibri" w:cs="宋体" w:hint="eastAsia"/>
          <w:b/>
          <w:sz w:val="32"/>
          <w:szCs w:val="24"/>
        </w:rPr>
        <w:t>）制度</w:t>
      </w:r>
      <w:bookmarkEnd w:id="8"/>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为了解决双体系建设工作“怎么干、谁来干、干什么”的问题。合理、健全、与时俱进的制度是双体系健康、持续、全面、深入开展的基础和保障。</w:t>
      </w:r>
    </w:p>
    <w:p w:rsidR="00ED623C" w:rsidRPr="00ED623C" w:rsidRDefault="00ED623C" w:rsidP="00ED623C">
      <w:pPr>
        <w:keepNext/>
        <w:keepLines/>
        <w:spacing w:before="260" w:after="260" w:line="412" w:lineRule="auto"/>
        <w:outlineLvl w:val="2"/>
        <w:rPr>
          <w:rFonts w:ascii="Calibri" w:eastAsia="宋体" w:hAnsi="Calibri" w:cs="宋体"/>
          <w:b/>
          <w:sz w:val="28"/>
          <w:szCs w:val="28"/>
        </w:rPr>
      </w:pPr>
      <w:bookmarkStart w:id="9" w:name="_Toc31785"/>
      <w:r w:rsidRPr="00ED623C">
        <w:rPr>
          <w:rFonts w:ascii="Calibri" w:eastAsia="宋体" w:hAnsi="Calibri" w:cs="宋体"/>
          <w:b/>
          <w:sz w:val="28"/>
          <w:szCs w:val="28"/>
        </w:rPr>
        <w:lastRenderedPageBreak/>
        <w:t>2.1</w:t>
      </w:r>
      <w:r w:rsidRPr="00ED623C">
        <w:rPr>
          <w:rFonts w:ascii="Calibri" w:eastAsia="宋体" w:hAnsi="Calibri" w:cs="宋体" w:hint="eastAsia"/>
          <w:b/>
          <w:sz w:val="28"/>
          <w:szCs w:val="28"/>
        </w:rPr>
        <w:t>安全生产风险分级管控制度</w:t>
      </w:r>
      <w:bookmarkEnd w:id="9"/>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为进一步加强公司风险分级管控，推进事故预防工作科学化、信息化、标准化，实现把风险控制在隐患形成之前、把隐患消灭在事故前面，特建立风险分级管控制度。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一、总则</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风险分级管控是指在安全生产过程中，针对各系统、各环节可能存在的风险、危害因素以及危险源，进行辨识、分析、分级管控的管理措施。</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各部门负责人是本单位风险分级管控工作实施的责任主体。</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二、风险分级管控组织机构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（一）成立“风险分级管控”工作领导组：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 xml:space="preserve">组  长： </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 xml:space="preserve">副组长： </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成员：</w:t>
      </w:r>
    </w:p>
    <w:p w:rsidR="00ED623C" w:rsidRPr="00ED623C" w:rsidRDefault="00ED623C" w:rsidP="00ED623C">
      <w:pPr>
        <w:tabs>
          <w:tab w:val="left" w:pos="12462"/>
        </w:tabs>
        <w:ind w:firstLineChars="500" w:firstLine="1400"/>
        <w:jc w:val="left"/>
        <w:rPr>
          <w:rFonts w:ascii="仿宋" w:eastAsia="仿宋" w:hAnsi="仿宋" w:cs="仿宋"/>
          <w:sz w:val="30"/>
          <w:szCs w:val="30"/>
        </w:rPr>
      </w:pPr>
      <w:r w:rsidRPr="00ED623C">
        <w:rPr>
          <w:rFonts w:ascii="仿宋" w:eastAsia="仿宋" w:hAnsi="仿宋" w:cs="仿宋" w:hint="eastAsia"/>
          <w:sz w:val="28"/>
          <w:szCs w:val="28"/>
        </w:rPr>
        <w:t xml:space="preserve"> </w:t>
      </w:r>
    </w:p>
    <w:p w:rsidR="00ED623C" w:rsidRPr="00ED623C" w:rsidRDefault="00ED623C" w:rsidP="00ED623C">
      <w:pPr>
        <w:rPr>
          <w:rFonts w:ascii="仿宋" w:eastAsia="仿宋" w:hAnsi="仿宋" w:cs="仿宋"/>
          <w:sz w:val="30"/>
          <w:szCs w:val="30"/>
        </w:rPr>
      </w:pP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（二）领导小组职责</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 主要负责人是风险分级管控第一责任人，对风险管控全面负责。</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 安全负责人负责对风险分级管控实施的监督、管理、考核。</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 各部门负责人具体负责实施分管系统范围内的风险分级管控工作。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lastRenderedPageBreak/>
        <w:t>4. 安全环境管理部负责具体实施系统的风险辨识、分级、控制管理、公告警示等工作。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5. 班组长负责本作业区域和工艺工序的风险管控工作。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6. 岗位人员负责本岗位的风险辨识管控。</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（三）、风险分级管控办公室设置</w:t>
      </w:r>
    </w:p>
    <w:p w:rsidR="00ED623C" w:rsidRPr="00ED623C" w:rsidRDefault="00ED623C" w:rsidP="00ED623C">
      <w:pPr>
        <w:tabs>
          <w:tab w:val="left" w:pos="12462"/>
        </w:tabs>
        <w:ind w:firstLineChars="200" w:firstLine="560"/>
        <w:jc w:val="left"/>
        <w:rPr>
          <w:rFonts w:ascii="仿宋" w:eastAsia="仿宋" w:hAnsi="仿宋" w:cs="仿宋"/>
          <w:color w:val="000000"/>
          <w:sz w:val="28"/>
          <w:szCs w:val="28"/>
        </w:rPr>
      </w:pPr>
      <w:r w:rsidRPr="00ED623C">
        <w:rPr>
          <w:rFonts w:ascii="仿宋" w:eastAsia="仿宋" w:hAnsi="仿宋" w:cs="仿宋" w:hint="eastAsia"/>
          <w:color w:val="000000"/>
          <w:sz w:val="28"/>
          <w:szCs w:val="28"/>
        </w:rPr>
        <w:t>主  任：</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color w:val="000000"/>
          <w:sz w:val="28"/>
          <w:szCs w:val="28"/>
        </w:rPr>
        <w:t>成  员：</w:t>
      </w:r>
    </w:p>
    <w:p w:rsidR="00ED623C" w:rsidRPr="00ED623C" w:rsidRDefault="00ED623C" w:rsidP="00ED623C">
      <w:pPr>
        <w:tabs>
          <w:tab w:val="left" w:pos="12462"/>
        </w:tabs>
        <w:ind w:firstLineChars="200" w:firstLine="560"/>
        <w:jc w:val="left"/>
        <w:rPr>
          <w:rFonts w:ascii="仿宋" w:eastAsia="仿宋" w:hAnsi="仿宋" w:cs="仿宋"/>
          <w:color w:val="000000"/>
          <w:sz w:val="28"/>
          <w:szCs w:val="28"/>
        </w:rPr>
      </w:pPr>
      <w:r w:rsidRPr="00ED623C">
        <w:rPr>
          <w:rFonts w:ascii="仿宋" w:eastAsia="仿宋" w:hAnsi="仿宋" w:cs="仿宋" w:hint="eastAsia"/>
          <w:color w:val="000000"/>
          <w:sz w:val="28"/>
          <w:szCs w:val="28"/>
        </w:rPr>
        <w:t>办公室：</w:t>
      </w:r>
    </w:p>
    <w:p w:rsidR="00ED623C" w:rsidRPr="00ED623C" w:rsidRDefault="00ED623C" w:rsidP="00ED623C">
      <w:pPr>
        <w:tabs>
          <w:tab w:val="left" w:pos="12462"/>
        </w:tabs>
        <w:ind w:firstLineChars="200" w:firstLine="560"/>
        <w:jc w:val="left"/>
        <w:rPr>
          <w:rFonts w:ascii="仿宋" w:eastAsia="仿宋" w:hAnsi="仿宋" w:cs="仿宋"/>
          <w:color w:val="000000"/>
          <w:sz w:val="28"/>
          <w:szCs w:val="28"/>
        </w:rPr>
      </w:pPr>
      <w:r w:rsidRPr="00ED623C">
        <w:rPr>
          <w:rFonts w:ascii="仿宋" w:eastAsia="仿宋" w:hAnsi="仿宋" w:cs="仿宋" w:hint="eastAsia"/>
          <w:color w:val="000000"/>
          <w:sz w:val="28"/>
          <w:szCs w:val="28"/>
        </w:rPr>
        <w:t>联系人：</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办公室职责</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领导组下设办公室，由***任办公室主任，负责检查、督促风险分级管控工作的实施情况，具体职责如下：</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 制定风险分级管控工作实施方案，明确辨识程序、评估方法、管控措施以及层级责任、考核奖惩等内容；</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 制定风险辨识的程序和方法（通过对系统的分析、危险源的调查、危险区域的界定、存在条件及触发因素的分析、潜在危险性分析）；</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 指导、督促各部门、项目开展“风险分级管控”工作；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4. 组织相关人员对全公司“风险分级管控”实施情况进行检查、考核；</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5. 承办上级部门 “风险分级管控”工作领导组交办的其他工作。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三、危险源辨识程序及风险评估方法</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lastRenderedPageBreak/>
        <w:t>（一）综合辨识程序</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 年度危险源辨识及风险评估</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每年由主要负责人亲自组织制定年度危险源辨识及风险评估工作方案，抽调各部门负责人（必要时聘请专家），根据《生产过程危险和有害因素分类与代码》（GB/T13861-2009），围绕人的不安全行为、物的不安全状态、环境的不良因素和管理缺陷等要素，对各施工现场的设备设施、作业环境、作业活动等进行一次全面、系统的危险源辨识。通过对系统的分析、危险源的调查、危险区域的界定、存在条件及触发因素的分析、潜在危险性分析，确定危险源种类及风险等级，制定风险控制措施。</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2.季度危险源辨识及风险评估</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每季度由风险管控办公室牵头组织各部门对施工现场进行一次危险源辨识及隐患排查，结合各施工现场重点区域、重点场所、重点环节以及操作行为、职业健康、环境条件、安全管理等，进行一次专业系统的危险源辨识。</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 每日危险源辨识及风险评估</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班组长每天上班前组织本班组岗位员工对重点工序进行危险源辨识。加强现场监管，全面掌控作业现场班组、岗位人员的危险源辨识情况；岗位员工上岗前对上岗区域内的环境、设备、设施、劳动防护进行危险源辨识，发现危险源后及时向当班跟班队长、班组长汇报，若发现存在不符合项应立即处理，处理不了的及时汇报本班班组长及部门负责人。</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lastRenderedPageBreak/>
        <w:t>（二）风险辨识评估方法</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由主要负责人牵头组织，采用LEC评价法（格雷厄姆评价法）、风险矩阵法等方法对危险源进行风险分级，确定风险等级。从高到低依次划分为重大风险、较大风险、一般风险和低风险四级，分别采用红、橙、黄、蓝四种颜色标示。其中：</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存在以下情形之一者，可界定为重大风险。</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1）发生过死亡、重伤、重大财产损失事故，或3次及以上轻伤、一般财产损失事故，且现在发生事故的条件依然存在的；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2）涉及重大危险源的；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3）具有坠落、坍塌、火灾等危险的场所，作业人员在30人及以上的；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4）经风险评估确定为最高级别风险的；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5）本集团公司认为有必要列为重大风险的其他条件。</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（三）建立风险数据库、重大风险清单</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各施工现场危险源辨识结束后，分别由主要负责人、各部门负责人针对各系统风险和安全隐患，按照风险等级评定标准（推荐采用LEC评价法、风险矩阵法等）对危险源进行风险分级，确定风险等级。从高到低依次划分为重大风险、较大风险、一般风险和低风险四级，分别采用红、橙、黄、蓝四种颜色标示。建立一整套风险数据库、重大风险清单、绘制“红橙黄蓝”四色风险分布图。明确级别、管理状况、责任人、管控能力等基本情况。</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 风险管控办公室每次进行危险源辨识、风险评估、定级结束</w:t>
      </w:r>
      <w:r w:rsidRPr="00ED623C">
        <w:rPr>
          <w:rFonts w:ascii="仿宋" w:eastAsia="仿宋" w:hAnsi="仿宋" w:cs="仿宋" w:hint="eastAsia"/>
          <w:sz w:val="28"/>
          <w:szCs w:val="28"/>
        </w:rPr>
        <w:lastRenderedPageBreak/>
        <w:t>后，要组织编写风险清单，明确辨识的时间、存在的风险和等级、管控措施和建议等内容，做到“谁辨识、谁签字、谁负责”，存档备查。</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四、风险分级管控</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 根据风险评估，针对风险类型和等级，从高到低，分为“公司、分公司、项目”三级，逐级分解落实到每级岗位和管理、作业员工身上，确保每一项风险都有人管理，有人监控，有人负责。</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 针对重大、较大风险，由主要负责人亲自组织，按照“五落实”原则，跟踪风险管控措施落实情况，发现问题及时督促整改。采取设计、替代、转移、隔离等技术、工程、管理手段，制定管控措施和工作方案，并在划定的重大、较大风险区域设定作业人数上限。</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 主要负责人牵头组织召开公司专题会，每年对评估出的重大风险管控措施落实情况和管控效果进行检查分析，识别风险辨识结果及管控措施是否存在漏洞、盲区，针对管控过程中出现的问题调整完善管控措施，并结合年度专项风险辨识评估结果，布置下一年风险管控重点。</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4.风险管控办公室牵头组织召开部门专题会，每季度对本系统存在的每一项风险，从制度、管理、措施、装备、应急、责任、考核等方面逐一落实管控措施，组织对季度风险重点管控区域措施实施情况进行一次检查分析，落实管控措施是否符合现场实际，不断完善改进管控措施。</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5. 由安全负责人牵头，风险分级管控办公室负责严格对照每一项风险的管控措施，抓好日常监督检查，确保管控措施严格落实到位。</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lastRenderedPageBreak/>
        <w:t>五、建立风险清单及风险管控措施</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风险分级管控办公室在风险辨识评估和分级之后，负责建立风险清单及数据库，参照《风险清单》格式，完善风险管控措施。风险清单应至少包括风险名称、风险位置、风险类型、风险等级、管控措施及责任人等内容。</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六、建立重大风险管控措施</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风险分级管控办公室对重大风险进行汇总，登记造册，并对重大风险存在的作业场所或作业活动、工艺技术条件、技术保障措施、管理措施、应急处置措施、责任部门及工作职责等进行详细说明。对于重大风险，集团公司应及时向市安监部门报告。</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七、风险公告警示及培训</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 完善风险公告制度，项目部要在重大风险区域的显著位置，公告存在的重大风险、管控责任人和主要管控措施。制作岗位风险管控应知应会卡，标明主要风险、可能引发事故隐患类别、事故后果、管控措施、应急措施及报告方式等内容。安全管理部门负责做好日常监督检查。</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 加强风险教育和技能培训，培训中心每半年至少组织一次风险辨识评估技术人员进行辨识评估专项培训；每年对全体员工进行一次以年度、综合、专项风险辨识评估结果、与本岗位相关的重大风险管控措施为主的教育培训，确保每名员工都能熟练掌握本岗位风险的基本特征及防范、应急措施。</w:t>
      </w:r>
    </w:p>
    <w:p w:rsidR="00ED623C" w:rsidRPr="00ED623C" w:rsidRDefault="00ED623C" w:rsidP="00ED623C">
      <w:pPr>
        <w:keepNext/>
        <w:keepLines/>
        <w:spacing w:before="260" w:after="260" w:line="412" w:lineRule="auto"/>
        <w:outlineLvl w:val="2"/>
        <w:rPr>
          <w:rFonts w:ascii="Calibri" w:eastAsia="宋体" w:hAnsi="Calibri" w:cs="宋体"/>
          <w:b/>
          <w:sz w:val="28"/>
          <w:szCs w:val="28"/>
        </w:rPr>
      </w:pPr>
      <w:bookmarkStart w:id="10" w:name="_Toc1736"/>
      <w:r w:rsidRPr="00ED623C">
        <w:rPr>
          <w:rFonts w:ascii="Calibri" w:eastAsia="宋体" w:hAnsi="Calibri" w:cs="宋体"/>
          <w:b/>
          <w:sz w:val="28"/>
          <w:szCs w:val="28"/>
        </w:rPr>
        <w:lastRenderedPageBreak/>
        <w:t>2.2</w:t>
      </w:r>
      <w:r w:rsidRPr="00ED623C">
        <w:rPr>
          <w:rFonts w:ascii="Calibri" w:eastAsia="宋体" w:hAnsi="Calibri" w:cs="宋体" w:hint="eastAsia"/>
          <w:b/>
          <w:sz w:val="28"/>
          <w:szCs w:val="28"/>
        </w:rPr>
        <w:t>安全检查与生产安全事故隐患排查治理制度</w:t>
      </w:r>
      <w:bookmarkEnd w:id="10"/>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为强化安全生产事故隐患排查治理工作，有效防止和减少事故发生，建立安全生产事故隐患排查治理长效机制，依据《安全生产事故隐患排查治理暂行规定》和公司《安全生产管理制度》，特制定安全生产事故隐患排查治理管理制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一、事故隐患排查治理责任制度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（一）认真落实公司事故隐患排查、治理和防控的主体责任。</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（二）主要负责人对公司事故隐患排查治理工作全面负责。</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（三）安全环境管理部具体负责公司事故隐患排查的组织协调、督查督办、整改验收、资料汇总和报表填报工作。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（四）明确公司所属各相关管理各岗位从业人员隐患排查治理工作职责，并认真落实。</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（五）自觉接受、积极配合安全监管部门对公司事故隐患排查治理工作的督查和指导，不得拒绝和阻挠。</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二、事故隐患定期排查分析制度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（一）实施事故隐患排查与安全生产检查相结合，定期排查与经常性排查相结合的原则。</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（二）每月组织一次定期排查，排查工作由单位主要负责人或分管负责人带领安全管理处人员进行。相关管理部门和分公司每月不少于一次开展定期排查。</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（三）每月召开一次事故隐患排查分析会议，会议由主要负责人或分管负责人召集，相关管理部门负责人、分公司负责人及有关专业</w:t>
      </w:r>
      <w:r w:rsidRPr="00ED623C">
        <w:rPr>
          <w:rFonts w:ascii="仿宋" w:eastAsia="仿宋" w:hAnsi="仿宋" w:cs="仿宋" w:hint="eastAsia"/>
          <w:sz w:val="28"/>
          <w:szCs w:val="28"/>
        </w:rPr>
        <w:lastRenderedPageBreak/>
        <w:t>技术人员参加。会议对隐患排查治理工作进行分析、研究，部署下一阶段工作，并做好会议记录。</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三、事故隐患治理和监控制度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（一）对排查出的各类事故隐患，安全环境管理部及相关管理部门、分公司分级建立《安全生产事故隐患排查治理登记台帐》。</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（二）对一般事故隐患，由项目负责人组织立即整改。整改难度较大或需一定数量的资金投入，由项目部所属分公司编制隐患整改方案，落实整改，并由安全环境管理部对整改落实情况进行验收。</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在事故隐患整改过程中，应当采取相应的安全防范措施，防止事故发生。事故隐患排除前或者排除过程中无法保证安全的，应当从危险区域内撤出作业人员，并疏散可能危及的其他人员，设置警戒标志，暂时停工。</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四、重大事故隐患管理制度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（一）对排查出的重大事故隐患，主要负责人或分管负责人组织本单位技术人员和专家或委托具有相应资质的安全评价机构进行评估，确定事故隐患的类别和具体等级，并提出整改措施建议。</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（二）对评估确定为重大的事故隐患，及时填写《安全生产重大事故隐患排查报告表》经主要负责人签字并单位盖章后，报当地主管部门或市安全生产监管部门。</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（三）及时组织编制重大事故隐患治理方案，方案应包括以下内容：</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1、隐患概况；</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lastRenderedPageBreak/>
        <w:t>2、治理的目标和任务；</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3、采取的方法和措施；</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4、经费和物资的落实；</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5、负责治理的机构和人员；</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6、治理的时限和要求；</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7、安全措施和应急预案。</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（四）按《方案》认真组织治理，并在治理期限内完成。</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（五）治理结束后，组织本单位技术人员和专家或委托具有相应资质的安全生产评价机构对重大事故隐患治理情况进行评估，出具评估报告。</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（六）隐患治理评估通过后，填写《安全生产重大事故隐患整改完成报告书》 并附评估报告报安全监管部门，安全监管部门复审通过后，事故隐患销案。复查未通过，继续整改，直至复查通过。属停工整改的项目复查通过后复工。</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（七）监管部门在监督检查中发现或举报发现的重大事故隐患的治理工作程序同上。</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五、事故隐患排查治理资金保障制度</w:t>
      </w:r>
      <w:r w:rsidRPr="00ED623C">
        <w:rPr>
          <w:rFonts w:ascii="仿宋" w:eastAsia="仿宋" w:hAnsi="仿宋" w:cs="仿宋" w:hint="eastAsia"/>
          <w:sz w:val="28"/>
          <w:szCs w:val="28"/>
        </w:rPr>
        <w:tab/>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（一）在年度财务计划安排时，将事故隐患排查治理所需资金列入财务预算，予以资金保障。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（二）按照国家财政部、国家安监总局《高危行业集团公司安全生产费用财务管理暂行办法》 的规定，足额提取安全费用，事故隐患排查治理所需资金，从提取的费用中支付。</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lastRenderedPageBreak/>
        <w:t>（三）事故隐患排查治理所需资金，主要包括事故隐患治理的费用、相关宣传费用和专项奖励。</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（四）事故隐患排查治理所需资金，由负责隐患治理的相关部门、分公司编制资金使用计划，经安全管理处审核，单位负责人批准后使用。</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（五）财务管理公司对事故隐患排查治理所需资金，单独建帐加强管理。</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六、事故隐患举报奖励制度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（一）鼓励公司广大从业人员对存在的事故隐患进行举报。</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（二）安全环境管理部负责事故隐患举报的登记、汇总工作。来访举报，由安全生产管理人员作好书面记录。</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（三）对接受的事故隐患举报，由二名以上安全生产管理人员进行调查核实。</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（四）给予事故隐患举报人的奖励应具备以下条件：</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1、属重大事故隐患或影响较大的隐患；</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2、在公司组织安全检查或隐患排查中未发现的隐患；</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3、举报人留有真实姓名和联系方式。</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（五）奖励方式为直接发给一定数额奖金或在对从业人员季度、年度考核中予以奖励。</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（六）奖励方案由安全管理处编制，经主要负责人批准后实施。</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七、事故隐患排查治理档案管理制度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（一）安全环境管理部定期将公司事故隐患排查治理的报表、台</w:t>
      </w:r>
      <w:r w:rsidRPr="00ED623C">
        <w:rPr>
          <w:rFonts w:ascii="仿宋" w:eastAsia="仿宋" w:hAnsi="仿宋" w:cs="仿宋" w:hint="eastAsia"/>
          <w:sz w:val="28"/>
          <w:szCs w:val="28"/>
        </w:rPr>
        <w:lastRenderedPageBreak/>
        <w:t>帐等资料分门别类进行整理汇编成册，并长期保存。相关管理部门、分公司也相应地做好资料整理汇总工作。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（二）重大事故隐患排查治理，建立“一患一档”，主要包括：</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1、重大事故隐患评估定级材料</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2、《安全生产重大事故隐患排查报告表》</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3、监管部门《安全生产重大事故隐患整改指令书》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4、重大事故隐患治理方案</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5、监管部门《安全生产重大事故隐患跟踪督查记录表》</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6、重大事故隐患整改完成评估报告</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7、《安全生产重大事故隐患整改完成报告书》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8、监管部门《安全生产重大事故隐患整改完成审查表》</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9、其它相关资料</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重大事故隐患排查治理“一患一档”长期保存。</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八、附则</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本管理制度自发布之日起施行。</w:t>
      </w:r>
    </w:p>
    <w:p w:rsidR="00ED623C" w:rsidRPr="00ED623C" w:rsidRDefault="00ED623C" w:rsidP="00ED623C">
      <w:pPr>
        <w:keepNext/>
        <w:keepLines/>
        <w:spacing w:before="260" w:after="260" w:line="412" w:lineRule="auto"/>
        <w:outlineLvl w:val="2"/>
        <w:rPr>
          <w:rFonts w:ascii="Calibri" w:eastAsia="宋体" w:hAnsi="Calibri" w:cs="宋体"/>
          <w:b/>
          <w:sz w:val="28"/>
          <w:szCs w:val="28"/>
        </w:rPr>
      </w:pPr>
      <w:bookmarkStart w:id="11" w:name="_Toc21032"/>
      <w:r w:rsidRPr="00ED623C">
        <w:rPr>
          <w:rFonts w:ascii="Calibri" w:eastAsia="宋体" w:hAnsi="Calibri" w:cs="宋体"/>
          <w:b/>
          <w:sz w:val="28"/>
          <w:szCs w:val="28"/>
        </w:rPr>
        <w:t xml:space="preserve">2.3 </w:t>
      </w:r>
      <w:r w:rsidRPr="00ED623C">
        <w:rPr>
          <w:rFonts w:ascii="Calibri" w:eastAsia="宋体" w:hAnsi="Calibri" w:cs="宋体" w:hint="eastAsia"/>
          <w:b/>
          <w:sz w:val="28"/>
          <w:szCs w:val="28"/>
        </w:rPr>
        <w:t>双体系建设奖惩管理制度</w:t>
      </w:r>
      <w:bookmarkEnd w:id="11"/>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第一章 目的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为了贯彻“安全第一，预防为主，综合治理”的方针，根据“两个体系”建设强化管理，充分落实“一岗双责”“管业务必须管安全”“管生产必须管安全”的要求，将风险分级管控与隐患排查治理贯穿安全管理的各个环节，预防事故的发生，确保安全生产，特制定本制</w:t>
      </w:r>
      <w:r w:rsidRPr="00ED623C">
        <w:rPr>
          <w:rFonts w:ascii="仿宋" w:eastAsia="仿宋" w:hAnsi="仿宋" w:cs="仿宋" w:hint="eastAsia"/>
          <w:sz w:val="28"/>
          <w:szCs w:val="28"/>
        </w:rPr>
        <w:lastRenderedPageBreak/>
        <w:t>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第二章</w:t>
      </w:r>
      <w:r w:rsidRPr="00ED623C">
        <w:rPr>
          <w:rFonts w:ascii="仿宋" w:eastAsia="仿宋" w:hAnsi="仿宋" w:cs="仿宋" w:hint="eastAsia"/>
          <w:sz w:val="28"/>
          <w:szCs w:val="28"/>
        </w:rPr>
        <w:t> </w:t>
      </w:r>
      <w:r w:rsidRPr="00ED623C">
        <w:rPr>
          <w:rFonts w:ascii="仿宋" w:eastAsia="仿宋" w:hAnsi="仿宋" w:cs="仿宋" w:hint="eastAsia"/>
          <w:sz w:val="28"/>
          <w:szCs w:val="28"/>
        </w:rPr>
        <w:t>范围</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本办法适用于公司生产运营、工程建设、交通和职工安全事故的处理以及“双体系”建设工作中各项风险点监控及隐患排查治理工作。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 </w:t>
      </w:r>
      <w:r w:rsidRPr="00ED623C">
        <w:rPr>
          <w:rFonts w:ascii="仿宋" w:eastAsia="仿宋" w:hAnsi="仿宋" w:cs="仿宋" w:hint="eastAsia"/>
          <w:sz w:val="28"/>
          <w:szCs w:val="28"/>
        </w:rPr>
        <w:t>第三章 考核方式</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（一）、每年年底由组长及副组长牵头对公司进行综合性检查，根据检查结果对风险分级管控和隐患排查治理工作落实不到位的部门及部门负责人进行考核；</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 </w:t>
      </w:r>
      <w:r w:rsidRPr="00ED623C">
        <w:rPr>
          <w:rFonts w:ascii="仿宋" w:eastAsia="仿宋" w:hAnsi="仿宋" w:cs="仿宋" w:hint="eastAsia"/>
          <w:sz w:val="28"/>
          <w:szCs w:val="28"/>
        </w:rPr>
        <w:t>第四章 考核标准及奖惩</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（一）、考核按照公司制定的《安全管理制度》、《安全生产目标责任书》以及各岗位的职责进行考核；</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（二）、各部门及员工落实“两个体系”具体工作，根据“两个体系”的综合考核结果与公司的《工程管理奖惩标准》结合予以奖惩。</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考核采用百分制的形式，根据每个岗位的年度重点工作指标及考核标准主项内容进行考核，总得分90分以上为优秀，70分以上为合格，60分以下为不合格，分别与员工的绩效薪酬挂钩。不合格者扣当季绩效考核工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第五章 奖励办法</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（一）先进集体评选标准</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1、认真贯彻执行集团公司规章制度的，本年度未给公司造成安全重大损失的；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2、有务实求新和团队合作精神的，工作作风扎实、效率高、团</w:t>
      </w:r>
      <w:r w:rsidRPr="00ED623C">
        <w:rPr>
          <w:rFonts w:ascii="仿宋" w:eastAsia="仿宋" w:hAnsi="仿宋" w:cs="仿宋" w:hint="eastAsia"/>
          <w:sz w:val="28"/>
          <w:szCs w:val="28"/>
        </w:rPr>
        <w:lastRenderedPageBreak/>
        <w:t>结好、纪律严、凝聚力强；</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3、根据部门职能，按照工作标准，能积极完成本部门工作和公司下达的各项任务；</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 xml:space="preserve">4、在工作中有突出的群体表现或其他突出事迹，对公司有特殊贡献的集体。 </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（二）先进个人评选标准</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1、忠诚公司，诚实守信，有高度的责任感、良好的职业道德和敬业精神；</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2、能胜任工作岗位，与时俱进创新进取，勇于拼搏奉献；</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3、岗位贡献突出，能优质高效完成工作任务，起到骨干带头作用；</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4、富有团队精神，遵纪守法，模范维护集团公司的稳定发展，得到广大员工的拥护；</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5、全年出勤；</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6、对社会和公司做出特殊贡献的员工。</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（三）、双体系评选奖励</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1、年终由部门、基层单位负责人根据评选条件提名；</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2、考评领导小组根据基层单位提名进行业绩评比，拟定先进集体和个人名单；</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3、报总经理办公会审批；</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4、举行员工评先颁奖大会，表彰先进集体和个人并颁发荣誉证书；</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lastRenderedPageBreak/>
        <w:t>5、落实先进集体和个人的待遇。</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第六章 附则</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1、由安全环境管理部、人力资源部、总经理办公室、工程管理部、财务管理部等相关人员组成考评领导小组；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2、考评领导小组负责员工评先活动的策划和组织工作；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3、人力资源部负责具体实施；</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4、本规定自发布之日起执行。</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本“办法”的最终解释权归安全管理处。</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12" w:name="_Toc13178"/>
      <w:r w:rsidRPr="00ED623C">
        <w:rPr>
          <w:rFonts w:ascii="Calibri" w:eastAsia="宋体" w:hAnsi="Calibri" w:cs="宋体" w:hint="eastAsia"/>
          <w:b/>
          <w:sz w:val="32"/>
          <w:szCs w:val="24"/>
        </w:rPr>
        <w:t>（</w:t>
      </w:r>
      <w:r w:rsidRPr="00ED623C">
        <w:rPr>
          <w:rFonts w:ascii="Calibri" w:eastAsia="宋体" w:hAnsi="Calibri" w:cs="宋体"/>
          <w:b/>
          <w:sz w:val="32"/>
          <w:szCs w:val="24"/>
        </w:rPr>
        <w:t>3</w:t>
      </w:r>
      <w:r w:rsidRPr="00ED623C">
        <w:rPr>
          <w:rFonts w:ascii="Calibri" w:eastAsia="宋体" w:hAnsi="Calibri" w:cs="宋体" w:hint="eastAsia"/>
          <w:b/>
          <w:sz w:val="32"/>
          <w:szCs w:val="24"/>
        </w:rPr>
        <w:t>）职责</w:t>
      </w:r>
      <w:bookmarkEnd w:id="12"/>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1、总经理</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负责组织双重预防体系建设工作的开展；领导小组成员做好组织、协调、计划、实施、总结、归纳、汇总、上报、专家审核等过程的工作；负责双体系建设的总体协调和推进；负责组织双重预防体系运行文件的审批；主持重大安全事故的调查分析和处理；配备适当的人、财、物资源，确保双重预防体系的持续有效运行。</w:t>
      </w:r>
    </w:p>
    <w:p w:rsidR="00ED623C" w:rsidRPr="00ED623C" w:rsidRDefault="00ED623C" w:rsidP="00ED623C">
      <w:pPr>
        <w:numPr>
          <w:ilvl w:val="0"/>
          <w:numId w:val="2"/>
        </w:num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安全总监</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负责双重预防体系建设工作组织协调、过程培训、技术指导，完成集团公司双重预防体系文件的编制，对体系建设过程中各部门提出奖惩建议；协调为保证双重预防体系运行所需要的资源合理配置；组织施工过程中的安全事故调查处理；组织开展双重预防体系的综合检查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lastRenderedPageBreak/>
        <w:t>3、法律事务主管</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负责公司的双重预防体系的法律事务工作。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4、总经理办公室（含行政，企化，信息）</w:t>
      </w:r>
    </w:p>
    <w:p w:rsidR="00ED623C" w:rsidRPr="00ED623C" w:rsidRDefault="00ED623C" w:rsidP="00ED623C">
      <w:pPr>
        <w:tabs>
          <w:tab w:val="left" w:pos="12462"/>
        </w:tabs>
        <w:jc w:val="left"/>
        <w:rPr>
          <w:rFonts w:ascii="仿宋" w:eastAsia="仿宋" w:hAnsi="仿宋" w:cs="仿宋"/>
          <w:sz w:val="28"/>
          <w:szCs w:val="28"/>
        </w:rPr>
      </w:pPr>
      <w:r w:rsidRPr="00ED623C">
        <w:rPr>
          <w:rFonts w:ascii="仿宋" w:eastAsia="仿宋" w:hAnsi="仿宋" w:cs="仿宋" w:hint="eastAsia"/>
          <w:sz w:val="28"/>
          <w:szCs w:val="28"/>
        </w:rPr>
        <w:t>贯彻执行国家、省、市相关法律、法规及有关人事、劳动、福利、社会保险等方面的政策和规定；负责公司双重预防体系的法律法规及其他要求的符合性、合规性评价工作；负责公司双重预防体系信息平台网站，各信息系统的硬件建设，运行，维护和管理工作，保障公司电脑及网络设备的正常运行；负责公司双重预防体系网络信息化系统的建设，实施，管理，维护，调整和升级工作；负责公司双重预防体系网络技术和信息化系统应用的培训和咨询服务工作；负责公司双重预防体系网络及信息资源的安全和管理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5、人力资源部</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负责各单位、各岗位职责划分的拟定、修改、实施；负责公司双重预防体系员工培训计划的拟定和实施工作；负责薪酬管理工作；负责绩效管理工作；负责员工劳动合同管理工作；负责员工考勤、社保福利、任免迁调、保健、奖惩、辞退、退休抚恤、人事档案、员工信息等管理工作；负责劳动争议处理工作；</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6、工程管理部</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负责公司生产、质量、体系运行、等管理工作；制订公司年度工程管理（包括生产、质量）目标、指标，并分解下达，定期考核；组织公司体系运行管理工作；组织开展公司季度综合检查，并及时做好评比、总结工作；进行新开工程质量、管理体系运行的策划交底工作，</w:t>
      </w:r>
      <w:r w:rsidRPr="00ED623C">
        <w:rPr>
          <w:rFonts w:ascii="仿宋" w:eastAsia="仿宋" w:hAnsi="仿宋" w:cs="仿宋" w:hint="eastAsia"/>
          <w:sz w:val="28"/>
          <w:szCs w:val="28"/>
        </w:rPr>
        <w:lastRenderedPageBreak/>
        <w:t>并监督检查其完成情况；参与、组织公司工程生产安全事故的分析与处理；</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7、安全环境管理部</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建立健全集团公司双重预防体系各级安全保证体系；制订公司年度安全管理目标、指标，并分解下达，定期考核；组织拟定公司安全生产规章制度、操作规程和生产安全事故应急救援预案；组织或者参与公司安全生产教育和培训，如实记录安全生产教育和培训情况；检查公司的安全生产状况，及时排查生产安全事故隐患，提出改进安全生产管理的建议，督促落实各项安全生产整改措施；制止和纠正违章指挥、强令冒险作业、违反操作规程的行为；负责安全专项施工方案的审核工作；协助有关部门做好公司三类人员及特殊工种的培训、新办、复审、变更、注销等工作；负责上级主管部门对公司的安全生产考核工作；负责公司消防保卫管理工作；负责公司文明施工管理工作；组织或者参与安全事故的报告、调查、处理工作；督促落实公司重大危险源的安全管理措施；组织公司应急救援演练；</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8、财务管理公司</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按照财务制度，编制双重预防体系年度财务预算方案，编报年度财务决算报表；制订财务收支计划、资金筹措计划；按照经济核算原则，检查、分析公司系统单位、各部门年度财务预算执行情况，按照年度预算控制各项费用开支；</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9、分公司、项目部、班组：</w:t>
      </w:r>
    </w:p>
    <w:p w:rsidR="00ED623C" w:rsidRPr="00ED623C" w:rsidRDefault="00ED623C" w:rsidP="00ED623C">
      <w:pPr>
        <w:tabs>
          <w:tab w:val="left" w:pos="12462"/>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负责本单位的双重预防体系构建工作。认真执行公司双重预防体</w:t>
      </w:r>
      <w:r w:rsidRPr="00ED623C">
        <w:rPr>
          <w:rFonts w:ascii="仿宋" w:eastAsia="仿宋" w:hAnsi="仿宋" w:cs="仿宋" w:hint="eastAsia"/>
          <w:sz w:val="28"/>
          <w:szCs w:val="28"/>
        </w:rPr>
        <w:lastRenderedPageBreak/>
        <w:t>系的各项管理制度，建立健全工程项目的双重预防体系的领导小组；组织分公司、项目部的双重预防体系的目标的分解工作，并围绕目标开展有效的管理活动，并不断推进管理改进工作；贯彻执行有关技术规程、规范和质量、环境、职业健康安全标准，负责组织实施施工工艺和作业指导书；对产品质量、安全生产和员工健康负直接责任；负责组织生产现场环境和风险因素的识别与排查，组织编制并实施管理方案；配置应急准备和响应的必须资源；负责对易燃、易爆、危险化学品库房等重要部位的消防安全防范工作。负责组织对分公司、项目部重要岗位人员的培训工作；接受公司对双重预防体系开展的各项检查工作，定期进行评价工作。</w:t>
      </w:r>
    </w:p>
    <w:p w:rsidR="00ED623C" w:rsidRPr="00ED623C" w:rsidRDefault="00ED623C" w:rsidP="00ED623C">
      <w:pPr>
        <w:keepNext/>
        <w:keepLines/>
        <w:spacing w:before="260" w:after="260" w:line="412" w:lineRule="auto"/>
        <w:outlineLvl w:val="1"/>
        <w:rPr>
          <w:rFonts w:ascii="Arial" w:eastAsia="黑体" w:hAnsi="Arial" w:cs="Times New Roman"/>
          <w:b/>
          <w:sz w:val="32"/>
          <w:szCs w:val="24"/>
        </w:rPr>
      </w:pPr>
      <w:bookmarkStart w:id="13" w:name="_Toc30114"/>
      <w:r w:rsidRPr="00ED623C">
        <w:rPr>
          <w:rFonts w:ascii="Arial" w:eastAsia="黑体" w:hAnsi="Arial" w:cs="Times New Roman" w:hint="eastAsia"/>
          <w:b/>
          <w:sz w:val="32"/>
          <w:szCs w:val="24"/>
        </w:rPr>
        <w:t>三、安全培训</w:t>
      </w:r>
      <w:bookmarkEnd w:id="13"/>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14" w:name="_Toc11141"/>
      <w:r w:rsidRPr="00ED623C">
        <w:rPr>
          <w:rFonts w:ascii="Calibri" w:eastAsia="宋体" w:hAnsi="Calibri" w:cs="宋体" w:hint="eastAsia"/>
          <w:b/>
          <w:sz w:val="32"/>
          <w:szCs w:val="24"/>
        </w:rPr>
        <w:t>（</w:t>
      </w:r>
      <w:r w:rsidRPr="00ED623C">
        <w:rPr>
          <w:rFonts w:ascii="Calibri" w:eastAsia="宋体" w:hAnsi="Calibri" w:cs="宋体"/>
          <w:b/>
          <w:sz w:val="32"/>
          <w:szCs w:val="24"/>
        </w:rPr>
        <w:t>1</w:t>
      </w:r>
      <w:r w:rsidRPr="00ED623C">
        <w:rPr>
          <w:rFonts w:ascii="Calibri" w:eastAsia="宋体" w:hAnsi="Calibri" w:cs="宋体" w:hint="eastAsia"/>
          <w:b/>
          <w:sz w:val="32"/>
          <w:szCs w:val="24"/>
        </w:rPr>
        <w:t>）全员培训</w:t>
      </w:r>
      <w:bookmarkEnd w:id="14"/>
    </w:p>
    <w:p w:rsidR="00ED623C" w:rsidRPr="00ED623C" w:rsidRDefault="00ED623C" w:rsidP="00ED623C">
      <w:pPr>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培训全覆盖：掌握双体系基本概念及术语，运行程序等基本知识，让员工了解 双体系的重要性（背景）、必要性（当前紧迫的安全形式）和实用性（具体应用），是全员了解、认识双体系工作的普及阶段，也为工作的全面推进打下基础。</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15" w:name="_Toc18616"/>
      <w:r w:rsidRPr="00ED623C">
        <w:rPr>
          <w:rFonts w:ascii="Calibri" w:eastAsia="宋体" w:hAnsi="Calibri" w:cs="宋体" w:hint="eastAsia"/>
          <w:b/>
          <w:sz w:val="32"/>
          <w:szCs w:val="24"/>
        </w:rPr>
        <w:t>（</w:t>
      </w:r>
      <w:r w:rsidRPr="00ED623C">
        <w:rPr>
          <w:rFonts w:ascii="Calibri" w:eastAsia="宋体" w:hAnsi="Calibri" w:cs="宋体"/>
          <w:b/>
          <w:sz w:val="32"/>
          <w:szCs w:val="24"/>
        </w:rPr>
        <w:t>2</w:t>
      </w:r>
      <w:r w:rsidRPr="00ED623C">
        <w:rPr>
          <w:rFonts w:ascii="Calibri" w:eastAsia="宋体" w:hAnsi="Calibri" w:cs="宋体" w:hint="eastAsia"/>
          <w:b/>
          <w:sz w:val="32"/>
          <w:szCs w:val="24"/>
        </w:rPr>
        <w:t>）有针对性的分层次开展培训</w:t>
      </w:r>
      <w:bookmarkEnd w:id="15"/>
    </w:p>
    <w:p w:rsidR="00ED623C" w:rsidRPr="00ED623C" w:rsidRDefault="00ED623C" w:rsidP="00ED623C">
      <w:pPr>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根据职务分工、文化层次、接受新知识的能力，分层次进行：决策层先了解重要性，才能全力支持。</w:t>
      </w:r>
    </w:p>
    <w:p w:rsidR="00ED623C" w:rsidRPr="00ED623C" w:rsidRDefault="00ED623C" w:rsidP="00ED623C">
      <w:pPr>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管理层及学习能力强的部分员工先会先用，才能逐步开展；其他</w:t>
      </w:r>
      <w:r w:rsidRPr="00ED623C">
        <w:rPr>
          <w:rFonts w:ascii="仿宋" w:eastAsia="仿宋" w:hAnsi="仿宋" w:cs="仿宋" w:hint="eastAsia"/>
          <w:sz w:val="28"/>
          <w:szCs w:val="28"/>
        </w:rPr>
        <w:lastRenderedPageBreak/>
        <w:t>员工要逐渐学会、掌握。自上而下、以点带面、全面普及。</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16" w:name="_Toc22715"/>
      <w:r w:rsidRPr="00ED623C">
        <w:rPr>
          <w:rFonts w:ascii="Calibri" w:eastAsia="宋体" w:hAnsi="Calibri" w:cs="宋体" w:hint="eastAsia"/>
          <w:b/>
          <w:sz w:val="32"/>
          <w:szCs w:val="24"/>
        </w:rPr>
        <w:t>（</w:t>
      </w:r>
      <w:r w:rsidRPr="00ED623C">
        <w:rPr>
          <w:rFonts w:ascii="Calibri" w:eastAsia="宋体" w:hAnsi="Calibri" w:cs="宋体"/>
          <w:b/>
          <w:sz w:val="32"/>
          <w:szCs w:val="24"/>
        </w:rPr>
        <w:t>3</w:t>
      </w:r>
      <w:r w:rsidRPr="00ED623C">
        <w:rPr>
          <w:rFonts w:ascii="Calibri" w:eastAsia="宋体" w:hAnsi="Calibri" w:cs="宋体" w:hint="eastAsia"/>
          <w:b/>
          <w:sz w:val="32"/>
          <w:szCs w:val="24"/>
        </w:rPr>
        <w:t>）培训层次多样化</w:t>
      </w:r>
      <w:bookmarkEnd w:id="16"/>
    </w:p>
    <w:p w:rsidR="00ED623C" w:rsidRPr="00ED623C" w:rsidRDefault="00ED623C" w:rsidP="00ED623C">
      <w:pPr>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每月安全活动都与双体系建设相关。活动 内容丰富多样、由简到繁、由易到难、循序渐进，以班组为单位开展 多种形式的双体系建设活动。</w:t>
      </w:r>
    </w:p>
    <w:p w:rsidR="00ED623C" w:rsidRPr="00ED623C" w:rsidRDefault="00ED623C" w:rsidP="00ED623C">
      <w:pPr>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 xml:space="preserve">  班组活动、班前班后会议、集体培训、自主学习</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17" w:name="_Toc17736"/>
      <w:r w:rsidRPr="00ED623C">
        <w:rPr>
          <w:rFonts w:ascii="Calibri" w:eastAsia="宋体" w:hAnsi="Calibri" w:cs="宋体" w:hint="eastAsia"/>
          <w:b/>
          <w:sz w:val="32"/>
          <w:szCs w:val="24"/>
        </w:rPr>
        <w:t>（</w:t>
      </w:r>
      <w:r w:rsidRPr="00ED623C">
        <w:rPr>
          <w:rFonts w:ascii="Calibri" w:eastAsia="宋体" w:hAnsi="Calibri" w:cs="宋体"/>
          <w:b/>
          <w:sz w:val="32"/>
          <w:szCs w:val="24"/>
        </w:rPr>
        <w:t>4</w:t>
      </w:r>
      <w:r w:rsidRPr="00ED623C">
        <w:rPr>
          <w:rFonts w:ascii="Calibri" w:eastAsia="宋体" w:hAnsi="Calibri" w:cs="宋体" w:hint="eastAsia"/>
          <w:b/>
          <w:sz w:val="32"/>
          <w:szCs w:val="24"/>
        </w:rPr>
        <w:t>）多重手段并用</w:t>
      </w:r>
      <w:bookmarkEnd w:id="17"/>
    </w:p>
    <w:p w:rsidR="00ED623C" w:rsidRPr="00ED623C" w:rsidRDefault="00AF402D" w:rsidP="00ED623C">
      <w:pPr>
        <w:tabs>
          <w:tab w:val="left" w:pos="1551"/>
          <w:tab w:val="left" w:pos="3081"/>
          <w:tab w:val="left" w:pos="4701"/>
          <w:tab w:val="left" w:pos="6291"/>
        </w:tabs>
        <w:ind w:firstLineChars="200" w:firstLine="420"/>
        <w:jc w:val="left"/>
        <w:rPr>
          <w:rFonts w:ascii="仿宋" w:eastAsia="仿宋" w:hAnsi="仿宋" w:cs="仿宋"/>
          <w:sz w:val="28"/>
          <w:szCs w:val="28"/>
        </w:rPr>
      </w:pPr>
      <w:r w:rsidRPr="00AF402D">
        <w:rPr>
          <w:rFonts w:ascii="Calibri" w:eastAsia="宋体" w:hAnsi="Calibri" w:cs="Times New Roman"/>
          <w:noProof/>
          <w:szCs w:val="24"/>
        </w:rPr>
        <w:pict>
          <v:shape id="任意多边形 54" o:spid="_x0000_s1026" style="position:absolute;left:0;text-align:left;margin-left:177.15pt;margin-top:12.55pt;width:50.25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6064,25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" path="m360040,l576064,125294,360040,250588r,-107294l,143294,,107294r360040,l360040,xe" fillcolor="#cce8cf" strokeweight="1pt">
            <v:stroke joinstyle="miter"/>
            <v:path arrowok="t" o:connecttype="custom" o:connectlocs="398859,0;638175,37783;398859,75565;398859,43210;0,43210;0,32355;398859,32355" o:connectangles="0,0,0,0,0,0,0"/>
          </v:shape>
        </w:pict>
      </w:r>
      <w:r w:rsidRPr="00AF402D">
        <w:rPr>
          <w:rFonts w:ascii="Calibri" w:eastAsia="宋体" w:hAnsi="Calibri" w:cs="Times New Roman"/>
          <w:noProof/>
          <w:szCs w:val="24"/>
        </w:rPr>
        <w:pict>
          <v:shape id="任意多边形 53" o:spid="_x0000_s1029" style="position:absolute;left:0;text-align:left;margin-left:107.65pt;margin-top:14pt;width:4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6064,25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" path="m360040,l576064,125294,360040,250588r,-107294l,143294,,107294r360040,l360040,xe" fillcolor="#cce8cf" strokeweight="1pt">
            <v:stroke joinstyle="miter"/>
            <v:path arrowok="t" o:connecttype="custom" o:connectlocs="357188,0;571500,37783;357188,75565;357188,43210;0,43210;0,32355;357188,32355" o:connectangles="0,0,0,0,0,0,0"/>
          </v:shape>
        </w:pict>
      </w:r>
      <w:r w:rsidRPr="00AF402D">
        <w:rPr>
          <w:rFonts w:ascii="Calibri" w:eastAsia="宋体" w:hAnsi="Calibri" w:cs="Times New Roman"/>
          <w:noProof/>
          <w:szCs w:val="24"/>
        </w:rPr>
        <w:pict>
          <v:shape id="任意多边形 51" o:spid="_x0000_s1028" style="position:absolute;left:0;text-align:left;margin-left:41.9pt;margin-top:13.15pt;width:48.75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6064,25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" path="m360040,l576064,125294,360040,250588r,-107294l,143294,,107294r360040,l360040,xe" fillcolor="#cce8cf" strokeweight="1pt">
            <v:stroke joinstyle="miter"/>
            <v:path arrowok="t" o:connecttype="custom" o:connectlocs="386953,0;619125,37783;386953,75565;386953,43210;0,43210;0,32355;386953,32355" o:connectangles="0,0,0,0,0,0,0"/>
          </v:shape>
        </w:pict>
      </w:r>
      <w:r w:rsidRPr="00AF402D">
        <w:rPr>
          <w:rFonts w:ascii="Calibri" w:eastAsia="宋体" w:hAnsi="Calibri" w:cs="Times New Roman"/>
          <w:noProof/>
          <w:szCs w:val="24"/>
        </w:rPr>
        <w:pict>
          <v:shape id="任意多边形 56" o:spid="_x0000_s1027" style="position:absolute;left:0;text-align:left;margin-left:260.55pt;margin-top:13.95pt;width:46.5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6064,25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" path="m360040,l576064,125294,360040,250588r,-107294l,143294,,107294r360040,l360040,xe" fillcolor="#cce8cf" strokeweight="1pt">
            <v:stroke joinstyle="miter"/>
            <v:path arrowok="t" o:connecttype="custom" o:connectlocs="369094,0;590550,37783;369094,75565;369094,43210;0,43210;0,32355;369094,32355" o:connectangles="0,0,0,0,0,0,0"/>
          </v:shape>
        </w:pict>
      </w:r>
      <w:r w:rsidR="00ED623C" w:rsidRPr="00ED623C">
        <w:rPr>
          <w:rFonts w:ascii="仿宋" w:eastAsia="仿宋" w:hAnsi="仿宋" w:cs="仿宋" w:hint="eastAsia"/>
          <w:sz w:val="28"/>
          <w:szCs w:val="28"/>
        </w:rPr>
        <w:t>讲</w:t>
      </w:r>
      <w:r w:rsidR="00ED623C" w:rsidRPr="00ED623C">
        <w:rPr>
          <w:rFonts w:ascii="仿宋" w:eastAsia="仿宋" w:hAnsi="仿宋" w:cs="仿宋" w:hint="eastAsia"/>
          <w:sz w:val="28"/>
          <w:szCs w:val="28"/>
        </w:rPr>
        <w:tab/>
        <w:t xml:space="preserve">  学  </w:t>
      </w:r>
      <w:r w:rsidR="00ED623C" w:rsidRPr="00ED623C">
        <w:rPr>
          <w:rFonts w:ascii="仿宋" w:eastAsia="仿宋" w:hAnsi="仿宋" w:cs="仿宋" w:hint="eastAsia"/>
          <w:sz w:val="28"/>
          <w:szCs w:val="28"/>
        </w:rPr>
        <w:tab/>
        <w:t>考</w:t>
      </w:r>
      <w:r w:rsidR="00ED623C" w:rsidRPr="00ED623C">
        <w:rPr>
          <w:rFonts w:ascii="仿宋" w:eastAsia="仿宋" w:hAnsi="仿宋" w:cs="仿宋" w:hint="eastAsia"/>
          <w:sz w:val="28"/>
          <w:szCs w:val="28"/>
        </w:rPr>
        <w:tab/>
        <w:t>问</w:t>
      </w:r>
      <w:r w:rsidR="00ED623C" w:rsidRPr="00ED623C">
        <w:rPr>
          <w:rFonts w:ascii="仿宋" w:eastAsia="仿宋" w:hAnsi="仿宋" w:cs="仿宋" w:hint="eastAsia"/>
          <w:sz w:val="28"/>
          <w:szCs w:val="28"/>
        </w:rPr>
        <w:tab/>
        <w:t>惩</w:t>
      </w:r>
    </w:p>
    <w:p w:rsidR="00ED623C" w:rsidRPr="00ED623C" w:rsidRDefault="00ED623C" w:rsidP="00ED623C">
      <w:pPr>
        <w:tabs>
          <w:tab w:val="left" w:pos="1551"/>
          <w:tab w:val="left" w:pos="3081"/>
          <w:tab w:val="left" w:pos="4701"/>
          <w:tab w:val="left" w:pos="6291"/>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培训的目的：了解、掌握、熟悉、独立分析。</w:t>
      </w:r>
    </w:p>
    <w:p w:rsidR="00ED623C" w:rsidRPr="00ED623C" w:rsidRDefault="00ED623C" w:rsidP="00ED623C">
      <w:pPr>
        <w:tabs>
          <w:tab w:val="left" w:pos="1551"/>
          <w:tab w:val="left" w:pos="3081"/>
          <w:tab w:val="left" w:pos="4701"/>
          <w:tab w:val="left" w:pos="6291"/>
        </w:tabs>
        <w:ind w:firstLineChars="200" w:firstLine="560"/>
        <w:jc w:val="left"/>
        <w:rPr>
          <w:rFonts w:ascii="仿宋" w:eastAsia="仿宋" w:hAnsi="仿宋" w:cs="仿宋"/>
          <w:sz w:val="28"/>
          <w:szCs w:val="28"/>
        </w:rPr>
      </w:pPr>
      <w:r w:rsidRPr="00ED623C">
        <w:rPr>
          <w:rFonts w:ascii="仿宋" w:eastAsia="仿宋" w:hAnsi="仿宋" w:cs="仿宋" w:hint="eastAsia"/>
          <w:sz w:val="28"/>
          <w:szCs w:val="28"/>
        </w:rPr>
        <w:t>一定要经过长期的、多种形式的培训教育和班组活动，岗位员工才能够熟练掌握本岗位风险识别的方法，通过隐患排查来保障管控措施的有效性。</w:t>
      </w:r>
    </w:p>
    <w:p w:rsidR="00ED623C" w:rsidRPr="00ED623C" w:rsidRDefault="00ED623C" w:rsidP="00ED623C">
      <w:pPr>
        <w:keepNext/>
        <w:keepLines/>
        <w:spacing w:before="260" w:after="260" w:line="412" w:lineRule="auto"/>
        <w:outlineLvl w:val="1"/>
        <w:rPr>
          <w:rFonts w:ascii="Arial" w:eastAsia="黑体" w:hAnsi="Arial" w:cs="Times New Roman"/>
          <w:b/>
          <w:sz w:val="32"/>
          <w:szCs w:val="24"/>
        </w:rPr>
      </w:pPr>
      <w:bookmarkStart w:id="18" w:name="_Toc28561"/>
      <w:r w:rsidRPr="00ED623C">
        <w:rPr>
          <w:rFonts w:ascii="Arial" w:eastAsia="黑体" w:hAnsi="Arial" w:cs="Times New Roman" w:hint="eastAsia"/>
          <w:b/>
          <w:sz w:val="32"/>
          <w:szCs w:val="24"/>
        </w:rPr>
        <w:t>四、双重预防体系过程管控</w:t>
      </w:r>
      <w:bookmarkEnd w:id="18"/>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19" w:name="_Toc4058"/>
      <w:r w:rsidRPr="00ED623C">
        <w:rPr>
          <w:rFonts w:ascii="Calibri" w:eastAsia="宋体" w:hAnsi="Calibri" w:cs="宋体" w:hint="eastAsia"/>
          <w:b/>
          <w:sz w:val="32"/>
          <w:szCs w:val="24"/>
        </w:rPr>
        <w:t>（一）管控要求</w:t>
      </w:r>
      <w:bookmarkEnd w:id="19"/>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公司以风险点为基本单元，对照安全风险管控清单开展安全风险管控效果检查分析和隐患排查</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20" w:name="_Toc17604"/>
      <w:r w:rsidRPr="00ED623C">
        <w:rPr>
          <w:rFonts w:ascii="Calibri" w:eastAsia="宋体" w:hAnsi="Calibri" w:cs="宋体" w:hint="eastAsia"/>
          <w:b/>
          <w:sz w:val="32"/>
          <w:szCs w:val="24"/>
        </w:rPr>
        <w:t>（二）综合管控</w:t>
      </w:r>
      <w:bookmarkEnd w:id="20"/>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公司主要负责人每年组织一次综合安全检查活动：</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lastRenderedPageBreak/>
        <w:t>1、检查重大安全风险管控措施落实情况，开展隐患排查；</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2、分析重大安全风险管控效果和重大隐患产生原因，调整完善风险管控措施；</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3、补充新增风险及其管控措施；</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4、通报重大隐患治理情况，补充完善隐患清单，明确隐患分级治理责任。</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21" w:name="_bookmark42"/>
      <w:bookmarkStart w:id="22" w:name="_Toc19234"/>
      <w:bookmarkEnd w:id="21"/>
      <w:r w:rsidRPr="00ED623C">
        <w:rPr>
          <w:rFonts w:ascii="Calibri" w:eastAsia="宋体" w:hAnsi="Calibri" w:cs="宋体" w:hint="eastAsia"/>
          <w:b/>
          <w:sz w:val="32"/>
          <w:szCs w:val="24"/>
        </w:rPr>
        <w:t>（三）专业管控</w:t>
      </w:r>
      <w:bookmarkEnd w:id="22"/>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公司各专业分管负责人每季度组织一次安全检查活动：</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1、检查分析各专业的安全风险管控措施落实情况，开展隐患排查；</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2、补充完善安全风险管控清单和隐患清单。</w:t>
      </w:r>
      <w:bookmarkStart w:id="23" w:name="_bookmark43"/>
      <w:bookmarkEnd w:id="23"/>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24" w:name="_Toc21862"/>
      <w:r w:rsidRPr="00ED623C">
        <w:rPr>
          <w:rFonts w:ascii="Calibri" w:eastAsia="宋体" w:hAnsi="Calibri" w:cs="宋体" w:hint="eastAsia"/>
          <w:b/>
          <w:sz w:val="32"/>
          <w:szCs w:val="24"/>
        </w:rPr>
        <w:t>（四）动态管控</w:t>
      </w:r>
      <w:bookmarkEnd w:id="24"/>
    </w:p>
    <w:p w:rsidR="00ED623C" w:rsidRPr="00ED623C" w:rsidRDefault="00ED623C" w:rsidP="00ED623C">
      <w:pPr>
        <w:ind w:firstLineChars="200" w:firstLine="562"/>
        <w:rPr>
          <w:rFonts w:ascii="仿宋" w:eastAsia="仿宋" w:hAnsi="仿宋" w:cs="仿宋"/>
          <w:b/>
          <w:bCs/>
          <w:sz w:val="28"/>
          <w:szCs w:val="28"/>
        </w:rPr>
      </w:pPr>
      <w:bookmarkStart w:id="25" w:name="_bookmark44"/>
      <w:bookmarkEnd w:id="25"/>
      <w:r w:rsidRPr="00ED623C">
        <w:rPr>
          <w:rFonts w:ascii="仿宋" w:eastAsia="仿宋" w:hAnsi="仿宋" w:cs="仿宋" w:hint="eastAsia"/>
          <w:b/>
          <w:bCs/>
          <w:sz w:val="28"/>
          <w:szCs w:val="28"/>
        </w:rPr>
        <w:t>1、分公司</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分公司每月开展安全检查：</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（1）检查风险管控措施落实情况，排查治理隐患；</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（2）不能立即整改的隐患及时上报，危及人身安全时停止作业，按程序处置；</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（3）对新增风险采取临时风险管控措施，并及时上报。</w:t>
      </w:r>
    </w:p>
    <w:p w:rsidR="00ED623C" w:rsidRPr="00ED623C" w:rsidRDefault="00ED623C" w:rsidP="00ED623C">
      <w:pPr>
        <w:ind w:firstLineChars="200" w:firstLine="562"/>
        <w:rPr>
          <w:rFonts w:ascii="仿宋" w:eastAsia="仿宋" w:hAnsi="仿宋" w:cs="仿宋"/>
          <w:b/>
          <w:bCs/>
          <w:sz w:val="28"/>
          <w:szCs w:val="28"/>
        </w:rPr>
      </w:pPr>
      <w:bookmarkStart w:id="26" w:name="_bookmark45"/>
      <w:bookmarkEnd w:id="26"/>
      <w:r w:rsidRPr="00ED623C">
        <w:rPr>
          <w:rFonts w:ascii="仿宋" w:eastAsia="仿宋" w:hAnsi="仿宋" w:cs="仿宋" w:hint="eastAsia"/>
          <w:b/>
          <w:bCs/>
          <w:sz w:val="28"/>
          <w:szCs w:val="28"/>
        </w:rPr>
        <w:t>2、项目</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项目部每天组织对作业环境和重点工序进行安全检查：</w:t>
      </w:r>
    </w:p>
    <w:p w:rsidR="00ED623C" w:rsidRPr="00ED623C" w:rsidRDefault="00ED623C" w:rsidP="00ED623C">
      <w:pPr>
        <w:ind w:firstLineChars="100" w:firstLine="280"/>
        <w:rPr>
          <w:rFonts w:ascii="仿宋" w:eastAsia="仿宋" w:hAnsi="仿宋" w:cs="仿宋"/>
          <w:sz w:val="28"/>
          <w:szCs w:val="28"/>
        </w:rPr>
      </w:pPr>
      <w:r w:rsidRPr="00ED623C">
        <w:rPr>
          <w:rFonts w:ascii="仿宋" w:eastAsia="仿宋" w:hAnsi="仿宋" w:cs="仿宋" w:hint="eastAsia"/>
          <w:sz w:val="28"/>
          <w:szCs w:val="28"/>
        </w:rPr>
        <w:lastRenderedPageBreak/>
        <w:t>（1）检查风险管控措施落实情况，排查治理隐患；</w:t>
      </w:r>
    </w:p>
    <w:p w:rsidR="00ED623C" w:rsidRPr="00ED623C" w:rsidRDefault="00ED623C" w:rsidP="00ED623C">
      <w:pPr>
        <w:ind w:firstLineChars="100" w:firstLine="280"/>
        <w:rPr>
          <w:rFonts w:ascii="仿宋" w:eastAsia="仿宋" w:hAnsi="仿宋" w:cs="仿宋"/>
          <w:sz w:val="28"/>
          <w:szCs w:val="28"/>
        </w:rPr>
      </w:pPr>
      <w:r w:rsidRPr="00ED623C">
        <w:rPr>
          <w:rFonts w:ascii="仿宋" w:eastAsia="仿宋" w:hAnsi="仿宋" w:cs="仿宋" w:hint="eastAsia"/>
          <w:sz w:val="28"/>
          <w:szCs w:val="28"/>
        </w:rPr>
        <w:t>（2）不能立即整改的隐患及时上报，危及人身安全时停止作业，按程序处置；</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（3）对新增风险采取临时风险管控措施，并及时上报。</w:t>
      </w:r>
    </w:p>
    <w:p w:rsidR="00ED623C" w:rsidRPr="00ED623C" w:rsidRDefault="00ED623C" w:rsidP="00ED623C">
      <w:pPr>
        <w:ind w:firstLineChars="200" w:firstLine="562"/>
        <w:rPr>
          <w:rFonts w:ascii="仿宋" w:eastAsia="仿宋" w:hAnsi="仿宋" w:cs="仿宋"/>
          <w:b/>
          <w:bCs/>
          <w:sz w:val="28"/>
          <w:szCs w:val="28"/>
        </w:rPr>
      </w:pPr>
      <w:bookmarkStart w:id="27" w:name="_bookmark46"/>
      <w:bookmarkEnd w:id="27"/>
      <w:r w:rsidRPr="00ED623C">
        <w:rPr>
          <w:rFonts w:ascii="仿宋" w:eastAsia="仿宋" w:hAnsi="仿宋" w:cs="仿宋" w:hint="eastAsia"/>
          <w:b/>
          <w:bCs/>
          <w:sz w:val="28"/>
          <w:szCs w:val="28"/>
        </w:rPr>
        <w:t>3、班组</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班组作业人员每天至少两次对班组作业条件进行安全检查：</w:t>
      </w:r>
    </w:p>
    <w:p w:rsidR="00ED623C" w:rsidRPr="00ED623C" w:rsidRDefault="00ED623C" w:rsidP="00ED623C">
      <w:pPr>
        <w:ind w:firstLineChars="100" w:firstLine="280"/>
        <w:rPr>
          <w:rFonts w:ascii="仿宋" w:eastAsia="仿宋" w:hAnsi="仿宋" w:cs="仿宋"/>
          <w:sz w:val="28"/>
          <w:szCs w:val="28"/>
        </w:rPr>
      </w:pPr>
      <w:r w:rsidRPr="00ED623C">
        <w:rPr>
          <w:rFonts w:ascii="仿宋" w:eastAsia="仿宋" w:hAnsi="仿宋" w:cs="仿宋" w:hint="eastAsia"/>
          <w:sz w:val="28"/>
          <w:szCs w:val="28"/>
        </w:rPr>
        <w:t>（1）依照岗位风险落实风险管控措施，排查治理隐患；</w:t>
      </w:r>
    </w:p>
    <w:p w:rsidR="00ED623C" w:rsidRPr="00ED623C" w:rsidRDefault="00ED623C" w:rsidP="00ED623C">
      <w:pPr>
        <w:ind w:firstLineChars="100" w:firstLine="280"/>
        <w:rPr>
          <w:rFonts w:ascii="仿宋" w:eastAsia="仿宋" w:hAnsi="仿宋" w:cs="仿宋"/>
          <w:sz w:val="28"/>
          <w:szCs w:val="28"/>
        </w:rPr>
      </w:pPr>
      <w:r w:rsidRPr="00ED623C">
        <w:rPr>
          <w:rFonts w:ascii="仿宋" w:eastAsia="仿宋" w:hAnsi="仿宋" w:cs="仿宋" w:hint="eastAsia"/>
          <w:sz w:val="28"/>
          <w:szCs w:val="28"/>
        </w:rPr>
        <w:t>（2）检查结果及时汇报，危及人身安全时停止作业；</w:t>
      </w:r>
    </w:p>
    <w:p w:rsidR="00ED623C" w:rsidRPr="00ED623C" w:rsidRDefault="00ED623C" w:rsidP="00ED623C">
      <w:pPr>
        <w:ind w:firstLineChars="100" w:firstLine="280"/>
        <w:rPr>
          <w:rFonts w:ascii="仿宋" w:eastAsia="仿宋" w:hAnsi="仿宋" w:cs="仿宋"/>
          <w:sz w:val="28"/>
          <w:szCs w:val="28"/>
        </w:rPr>
      </w:pPr>
      <w:r w:rsidRPr="00ED623C">
        <w:rPr>
          <w:rFonts w:ascii="仿宋" w:eastAsia="仿宋" w:hAnsi="仿宋" w:cs="仿宋" w:hint="eastAsia"/>
          <w:sz w:val="28"/>
          <w:szCs w:val="28"/>
        </w:rPr>
        <w:t>（3）发现新增风险及时汇报。</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28" w:name="_Toc30833"/>
      <w:r w:rsidRPr="00ED623C">
        <w:rPr>
          <w:rFonts w:ascii="Calibri" w:eastAsia="宋体" w:hAnsi="Calibri" w:cs="宋体" w:hint="eastAsia"/>
          <w:b/>
          <w:sz w:val="32"/>
          <w:szCs w:val="24"/>
        </w:rPr>
        <w:t>（五）风险隐患公示</w:t>
      </w:r>
      <w:bookmarkEnd w:id="28"/>
    </w:p>
    <w:p w:rsidR="00ED623C" w:rsidRPr="00ED623C" w:rsidRDefault="00ED623C" w:rsidP="00ED623C">
      <w:pPr>
        <w:ind w:firstLineChars="200" w:firstLine="560"/>
        <w:rPr>
          <w:rFonts w:ascii="仿宋" w:eastAsia="仿宋" w:hAnsi="仿宋" w:cs="仿宋"/>
          <w:sz w:val="28"/>
          <w:szCs w:val="28"/>
        </w:rPr>
      </w:pPr>
      <w:bookmarkStart w:id="29" w:name="_bookmark48"/>
      <w:bookmarkEnd w:id="29"/>
      <w:r w:rsidRPr="00ED623C">
        <w:rPr>
          <w:rFonts w:ascii="仿宋" w:eastAsia="仿宋" w:hAnsi="仿宋" w:cs="仿宋" w:hint="eastAsia"/>
          <w:sz w:val="28"/>
          <w:szCs w:val="28"/>
        </w:rPr>
        <w:t>重大安全风险、重大事故隐患应公示告知：</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1、在施工现场醒目位置公示重大风险和重大隐患；</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2、在存在重大风险的区域公示告知重大风险；</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3、重大风险公示风险点、风险描述、主要管控措施、管控责任人等；</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4、重大隐患公示风险点、隐患描述、主要治理措施、责任人、治理时限等。</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30" w:name="_bookmark49"/>
      <w:bookmarkStart w:id="31" w:name="_Toc15356"/>
      <w:bookmarkEnd w:id="30"/>
      <w:r w:rsidRPr="00ED623C">
        <w:rPr>
          <w:rFonts w:ascii="Calibri" w:eastAsia="宋体" w:hAnsi="Calibri" w:cs="宋体" w:hint="eastAsia"/>
          <w:b/>
          <w:sz w:val="32"/>
          <w:szCs w:val="24"/>
        </w:rPr>
        <w:t>（六）信息上报</w:t>
      </w:r>
      <w:bookmarkEnd w:id="31"/>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1、公司每月度应向负有安全生产监督管理职责的部门报告重大风险和重大隐患。</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lastRenderedPageBreak/>
        <w:t>2、重大风险报告应当包括以下内容：风险点的基本情况，风险类型、风险描述、风险管控措施、风险分级管控责任单位和责任人。</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3、重大隐患报告应当包括以下内容：隐患的现状、产生原因、危害程度、整改难易程度分析、治理方案、治理责任和治理期限等。</w:t>
      </w:r>
    </w:p>
    <w:p w:rsidR="00ED623C" w:rsidRPr="00ED623C" w:rsidRDefault="00ED623C" w:rsidP="00ED623C">
      <w:pPr>
        <w:keepNext/>
        <w:keepLines/>
        <w:spacing w:before="260" w:after="260" w:line="412" w:lineRule="auto"/>
        <w:outlineLvl w:val="1"/>
        <w:rPr>
          <w:rFonts w:ascii="Arial" w:eastAsia="黑体" w:hAnsi="Arial" w:cs="Times New Roman"/>
          <w:b/>
          <w:sz w:val="32"/>
          <w:szCs w:val="24"/>
        </w:rPr>
      </w:pPr>
      <w:bookmarkStart w:id="32" w:name="_Toc21702"/>
      <w:r w:rsidRPr="00ED623C">
        <w:rPr>
          <w:rFonts w:ascii="Arial" w:eastAsia="黑体" w:hAnsi="Arial" w:cs="Times New Roman" w:hint="eastAsia"/>
          <w:b/>
          <w:sz w:val="32"/>
          <w:szCs w:val="24"/>
        </w:rPr>
        <w:t>五、信息平台建设</w:t>
      </w:r>
      <w:bookmarkEnd w:id="32"/>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33" w:name="_bookmark51"/>
      <w:bookmarkStart w:id="34" w:name="_Toc25553"/>
      <w:bookmarkEnd w:id="33"/>
      <w:r w:rsidRPr="00ED623C">
        <w:rPr>
          <w:rFonts w:ascii="Calibri" w:eastAsia="宋体" w:hAnsi="Calibri" w:cs="宋体" w:hint="eastAsia"/>
          <w:b/>
          <w:sz w:val="32"/>
          <w:szCs w:val="24"/>
        </w:rPr>
        <w:t>（一）基本要求</w:t>
      </w:r>
      <w:bookmarkEnd w:id="34"/>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公司采用信息化管理手段，建立安全生产双重预防信息平台，具备安全风险分级管控、隐患排查治理、统计分析及风险预警等主要功能，实现风险与隐患数据应用的无缝链接；保障数据安全， 具有权限分级功能。宜使用移动终端提高安全管理信息化水平。</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35" w:name="_bookmark52"/>
      <w:bookmarkStart w:id="36" w:name="_Toc24423"/>
      <w:bookmarkEnd w:id="35"/>
      <w:r w:rsidRPr="00ED623C">
        <w:rPr>
          <w:rFonts w:ascii="Calibri" w:eastAsia="宋体" w:hAnsi="Calibri" w:cs="宋体" w:hint="eastAsia"/>
          <w:b/>
          <w:sz w:val="32"/>
          <w:szCs w:val="24"/>
        </w:rPr>
        <w:t>（二）功能模块</w:t>
      </w:r>
      <w:bookmarkEnd w:id="36"/>
    </w:p>
    <w:p w:rsidR="00ED623C" w:rsidRPr="00ED623C" w:rsidRDefault="00ED623C" w:rsidP="00ED623C">
      <w:pPr>
        <w:ind w:firstLineChars="200" w:firstLine="562"/>
        <w:rPr>
          <w:rFonts w:ascii="仿宋" w:eastAsia="仿宋" w:hAnsi="仿宋" w:cs="仿宋"/>
          <w:b/>
          <w:bCs/>
          <w:sz w:val="28"/>
          <w:szCs w:val="28"/>
        </w:rPr>
      </w:pPr>
      <w:bookmarkStart w:id="37" w:name="_bookmark53"/>
      <w:bookmarkEnd w:id="37"/>
      <w:r w:rsidRPr="00ED623C">
        <w:rPr>
          <w:rFonts w:ascii="仿宋" w:eastAsia="仿宋" w:hAnsi="仿宋" w:cs="仿宋" w:hint="eastAsia"/>
          <w:b/>
          <w:bCs/>
          <w:sz w:val="28"/>
          <w:szCs w:val="28"/>
        </w:rPr>
        <w:t>1、风险分级管控模块</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风险分级管控模块应实现对安全风险的记录、跟踪、统计、分析和上报全过程的信息化管理。应具备以下功能：</w:t>
      </w:r>
    </w:p>
    <w:p w:rsidR="00ED623C" w:rsidRPr="00ED623C" w:rsidRDefault="00ED623C" w:rsidP="00ED623C">
      <w:pPr>
        <w:ind w:firstLineChars="100" w:firstLine="280"/>
        <w:rPr>
          <w:rFonts w:ascii="仿宋" w:eastAsia="仿宋" w:hAnsi="仿宋" w:cs="仿宋"/>
          <w:sz w:val="28"/>
          <w:szCs w:val="28"/>
        </w:rPr>
      </w:pPr>
      <w:r w:rsidRPr="00ED623C">
        <w:rPr>
          <w:rFonts w:ascii="仿宋" w:eastAsia="仿宋" w:hAnsi="仿宋" w:cs="仿宋" w:hint="eastAsia"/>
          <w:sz w:val="28"/>
          <w:szCs w:val="28"/>
        </w:rPr>
        <w:t>（1）风险点的管理（增加、删除、编辑、查询等功能）；</w:t>
      </w:r>
    </w:p>
    <w:p w:rsidR="00ED623C" w:rsidRPr="00ED623C" w:rsidRDefault="00ED623C" w:rsidP="00ED623C">
      <w:pPr>
        <w:ind w:firstLineChars="100" w:firstLine="280"/>
        <w:rPr>
          <w:rFonts w:ascii="仿宋" w:eastAsia="仿宋" w:hAnsi="仿宋" w:cs="仿宋"/>
          <w:sz w:val="28"/>
          <w:szCs w:val="28"/>
        </w:rPr>
      </w:pPr>
      <w:r w:rsidRPr="00ED623C">
        <w:rPr>
          <w:rFonts w:ascii="仿宋" w:eastAsia="仿宋" w:hAnsi="仿宋" w:cs="仿宋" w:hint="eastAsia"/>
          <w:sz w:val="28"/>
          <w:szCs w:val="28"/>
        </w:rPr>
        <w:t>（2）年度、专项、岗位、临时风险辨识评估的管理（辨识数据的录入、辅助辨识评估、辅助生成文件、审核、结果上传等）。</w:t>
      </w:r>
    </w:p>
    <w:p w:rsidR="00ED623C" w:rsidRPr="00ED623C" w:rsidRDefault="00ED623C" w:rsidP="00ED623C">
      <w:pPr>
        <w:ind w:firstLineChars="200" w:firstLine="562"/>
        <w:rPr>
          <w:rFonts w:ascii="仿宋" w:eastAsia="仿宋" w:hAnsi="仿宋" w:cs="仿宋"/>
          <w:b/>
          <w:bCs/>
          <w:sz w:val="28"/>
          <w:szCs w:val="28"/>
        </w:rPr>
      </w:pPr>
      <w:bookmarkStart w:id="38" w:name="_bookmark54"/>
      <w:bookmarkEnd w:id="38"/>
      <w:r w:rsidRPr="00ED623C">
        <w:rPr>
          <w:rFonts w:ascii="仿宋" w:eastAsia="仿宋" w:hAnsi="仿宋" w:cs="仿宋" w:hint="eastAsia"/>
          <w:b/>
          <w:bCs/>
          <w:sz w:val="28"/>
          <w:szCs w:val="28"/>
        </w:rPr>
        <w:t>2、隐患排查治理模块</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隐患排查治理模块实现对隐患的记录统计、过程跟踪、逾期报警、信息上报的信息化管理。应具备以下功能：</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lastRenderedPageBreak/>
        <w:t>（1）隐患信息录入及与风险的关联；</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（2）隐患整改、复查、销号等过程跟踪，实现闭环管理，对于整改超期、或整改未达要求的，进行预警；</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（3）实现重大隐患上报、跟踪督办。</w:t>
      </w:r>
    </w:p>
    <w:p w:rsidR="00ED623C" w:rsidRPr="00ED623C" w:rsidRDefault="00ED623C" w:rsidP="00ED623C">
      <w:pPr>
        <w:ind w:firstLineChars="200" w:firstLine="562"/>
        <w:rPr>
          <w:rFonts w:ascii="仿宋" w:eastAsia="仿宋" w:hAnsi="仿宋" w:cs="仿宋"/>
          <w:b/>
          <w:bCs/>
          <w:sz w:val="28"/>
          <w:szCs w:val="28"/>
        </w:rPr>
      </w:pPr>
      <w:bookmarkStart w:id="39" w:name="_bookmark55"/>
      <w:bookmarkEnd w:id="39"/>
      <w:r w:rsidRPr="00ED623C">
        <w:rPr>
          <w:rFonts w:ascii="仿宋" w:eastAsia="仿宋" w:hAnsi="仿宋" w:cs="仿宋" w:hint="eastAsia"/>
          <w:b/>
          <w:bCs/>
          <w:sz w:val="28"/>
          <w:szCs w:val="28"/>
        </w:rPr>
        <w:t>3、统计分析及预警模块</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该模块应具备以下功能：</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（1）实现安全风险和隐患的多维度统计分析，自动生成报表；</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（2）实现安全风险等级变化和隐患数据变化的预警功能；</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（3）与风险点关联，实现安全风险动态管理的直观展现。宜与安全生产相关系统集成。</w:t>
      </w:r>
    </w:p>
    <w:p w:rsidR="00ED623C" w:rsidRPr="00ED623C" w:rsidRDefault="00ED623C" w:rsidP="00ED623C">
      <w:pPr>
        <w:ind w:firstLineChars="200" w:firstLine="562"/>
        <w:rPr>
          <w:rFonts w:ascii="仿宋" w:eastAsia="仿宋" w:hAnsi="仿宋" w:cs="仿宋"/>
          <w:b/>
          <w:bCs/>
          <w:sz w:val="28"/>
          <w:szCs w:val="28"/>
        </w:rPr>
      </w:pPr>
      <w:bookmarkStart w:id="40" w:name="_bookmark56"/>
      <w:bookmarkEnd w:id="40"/>
      <w:r w:rsidRPr="00ED623C">
        <w:rPr>
          <w:rFonts w:ascii="仿宋" w:eastAsia="仿宋" w:hAnsi="仿宋" w:cs="仿宋" w:hint="eastAsia"/>
          <w:b/>
          <w:bCs/>
          <w:sz w:val="28"/>
          <w:szCs w:val="28"/>
        </w:rPr>
        <w:t>4、系统接口</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系统接口应具备以下功能：</w:t>
      </w:r>
    </w:p>
    <w:p w:rsidR="00ED623C" w:rsidRPr="00ED623C" w:rsidRDefault="00ED623C" w:rsidP="00ED623C">
      <w:pPr>
        <w:ind w:firstLineChars="100" w:firstLine="280"/>
        <w:rPr>
          <w:rFonts w:ascii="仿宋" w:eastAsia="仿宋" w:hAnsi="仿宋" w:cs="仿宋"/>
          <w:sz w:val="28"/>
          <w:szCs w:val="28"/>
        </w:rPr>
      </w:pPr>
      <w:r w:rsidRPr="00ED623C">
        <w:rPr>
          <w:rFonts w:ascii="仿宋" w:eastAsia="仿宋" w:hAnsi="仿宋" w:cs="仿宋" w:hint="eastAsia"/>
          <w:sz w:val="28"/>
          <w:szCs w:val="28"/>
        </w:rPr>
        <w:t>（1）应具备短信或微信提醒接口，实现预警信息的及时推送；</w:t>
      </w:r>
    </w:p>
    <w:p w:rsidR="00ED623C" w:rsidRPr="00ED623C" w:rsidRDefault="00ED623C" w:rsidP="00ED623C">
      <w:pPr>
        <w:ind w:firstLineChars="100" w:firstLine="280"/>
        <w:rPr>
          <w:rFonts w:ascii="仿宋" w:eastAsia="仿宋" w:hAnsi="仿宋" w:cs="仿宋"/>
          <w:sz w:val="28"/>
          <w:szCs w:val="28"/>
        </w:rPr>
      </w:pPr>
      <w:r w:rsidRPr="00ED623C">
        <w:rPr>
          <w:rFonts w:ascii="仿宋" w:eastAsia="仿宋" w:hAnsi="仿宋" w:cs="仿宋" w:hint="eastAsia"/>
          <w:sz w:val="28"/>
          <w:szCs w:val="28"/>
        </w:rPr>
        <w:t>（2）应具备对外提供数据接口，实现风险、隐患等数据与其他系统的对接；</w:t>
      </w:r>
    </w:p>
    <w:p w:rsidR="00ED623C" w:rsidRPr="00ED623C" w:rsidRDefault="00ED623C" w:rsidP="00ED623C">
      <w:pPr>
        <w:ind w:firstLineChars="200" w:firstLine="562"/>
        <w:rPr>
          <w:rFonts w:ascii="仿宋" w:eastAsia="仿宋" w:hAnsi="仿宋" w:cs="仿宋"/>
          <w:b/>
          <w:bCs/>
          <w:sz w:val="28"/>
          <w:szCs w:val="28"/>
        </w:rPr>
      </w:pPr>
      <w:r w:rsidRPr="00ED623C">
        <w:rPr>
          <w:rFonts w:ascii="仿宋" w:eastAsia="仿宋" w:hAnsi="仿宋" w:cs="仿宋" w:hint="eastAsia"/>
          <w:b/>
          <w:bCs/>
          <w:sz w:val="28"/>
          <w:szCs w:val="28"/>
        </w:rPr>
        <w:t>5、系统管理</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的“双重预防体系”系统管理员应定期对信息系统中涉及本单位相关内容进行定期更新和维护，更新内容主要包括公司管理机构、生产工艺、设备设施、安全风险评价清单、风险点源库数据、风险点隐患排查清单、隐患排查治理信息数据库等内容。</w:t>
      </w:r>
    </w:p>
    <w:p w:rsidR="00ED623C" w:rsidRPr="00ED623C" w:rsidRDefault="00ED623C" w:rsidP="00ED623C">
      <w:pPr>
        <w:keepNext/>
        <w:keepLines/>
        <w:spacing w:before="260" w:after="260" w:line="412" w:lineRule="auto"/>
        <w:outlineLvl w:val="1"/>
        <w:rPr>
          <w:rFonts w:ascii="Arial" w:eastAsia="黑体" w:hAnsi="Arial" w:cs="Times New Roman"/>
          <w:b/>
          <w:sz w:val="32"/>
          <w:szCs w:val="24"/>
        </w:rPr>
      </w:pPr>
      <w:bookmarkStart w:id="41" w:name="_Toc5041"/>
      <w:r w:rsidRPr="00ED623C">
        <w:rPr>
          <w:rFonts w:ascii="Arial" w:eastAsia="黑体" w:hAnsi="Arial" w:cs="Times New Roman" w:hint="eastAsia"/>
          <w:b/>
          <w:sz w:val="32"/>
          <w:szCs w:val="24"/>
        </w:rPr>
        <w:lastRenderedPageBreak/>
        <w:t>六、文档管理</w:t>
      </w:r>
      <w:bookmarkEnd w:id="41"/>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应完整保存体现风险管控与隐患治理过程的记录资料，并分类建档管理。至少要包括风险管控制度、风险点台账、危险源辨识与风险评价表，以及风险分级管控清单和隐患排查治理清单等内容的文件资料，并建立和保存有关记录的电子文档；涉及重大风险、重大风险和重大隐患时，其辨识、评价、控制措施和隐患治理全程记录等，应单独建档管理。</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文档记录包括但不限于：</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（一）安全风险分级管控制度；</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（二）危险源登记台账；</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（三）危险源辨识与风险分析、评价记录；</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（四）风险分级管控清单；</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（五）重大风险管控记录；</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（六）隐患排查治理制度；</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（七）隐患排查清单；</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（八）隐患排查治理台账；</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（九）重大隐患治理方案等。</w:t>
      </w:r>
    </w:p>
    <w:p w:rsidR="00ED623C" w:rsidRPr="00ED623C" w:rsidRDefault="00ED623C" w:rsidP="00ED623C">
      <w:pPr>
        <w:keepNext/>
        <w:keepLines/>
        <w:spacing w:before="260" w:after="260" w:line="412" w:lineRule="auto"/>
        <w:outlineLvl w:val="1"/>
        <w:rPr>
          <w:rFonts w:ascii="Arial" w:eastAsia="黑体" w:hAnsi="Arial" w:cs="Times New Roman"/>
          <w:b/>
          <w:sz w:val="32"/>
          <w:szCs w:val="24"/>
        </w:rPr>
      </w:pPr>
      <w:bookmarkStart w:id="42" w:name="_Toc24095"/>
      <w:r w:rsidRPr="00ED623C">
        <w:rPr>
          <w:rFonts w:ascii="Arial" w:eastAsia="黑体" w:hAnsi="Arial" w:cs="Times New Roman" w:hint="eastAsia"/>
          <w:b/>
          <w:sz w:val="32"/>
          <w:szCs w:val="24"/>
        </w:rPr>
        <w:t>七、双重预防体系建设效果</w:t>
      </w:r>
      <w:bookmarkEnd w:id="42"/>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通过风险管控与隐患治理双重预防体系建设，至少在以下方面实现提升：</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（一）安全管理责任更加明确；</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lastRenderedPageBreak/>
        <w:t>（二）风险管控措施持续有效；</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（三）风险管控能力明显提升；</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（四）隐患治理机制更加完善；</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（五）生产安全事故明显减少；</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（六）本质安全水平明显提高。</w:t>
      </w:r>
    </w:p>
    <w:p w:rsidR="00ED623C" w:rsidRPr="00ED623C" w:rsidRDefault="00ED623C" w:rsidP="00ED623C">
      <w:pPr>
        <w:keepNext/>
        <w:keepLines/>
        <w:spacing w:before="260" w:after="260" w:line="412" w:lineRule="auto"/>
        <w:outlineLvl w:val="1"/>
        <w:rPr>
          <w:rFonts w:ascii="Arial" w:eastAsia="黑体" w:hAnsi="Arial" w:cs="Times New Roman"/>
          <w:b/>
          <w:sz w:val="32"/>
          <w:szCs w:val="24"/>
        </w:rPr>
      </w:pPr>
      <w:bookmarkStart w:id="43" w:name="_Toc29604"/>
      <w:r w:rsidRPr="00ED623C">
        <w:rPr>
          <w:rFonts w:ascii="Arial" w:eastAsia="黑体" w:hAnsi="Arial" w:cs="Times New Roman" w:hint="eastAsia"/>
          <w:b/>
          <w:sz w:val="32"/>
          <w:szCs w:val="24"/>
        </w:rPr>
        <w:t>八、持续改进</w:t>
      </w:r>
      <w:bookmarkEnd w:id="43"/>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根据双重预防体系建设自评结果所反映的问题和趋势，客观分析公司双重预防体系的运行质量，及时修正发现的问题和偏差，完善安全风险管控制度和隐患治理措施，强化“两道防线”，持续改进提升，不断提高本质安全水平。</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44" w:name="_Toc5271"/>
      <w:r w:rsidRPr="00ED623C">
        <w:rPr>
          <w:rFonts w:ascii="Calibri" w:eastAsia="宋体" w:hAnsi="Calibri" w:cs="宋体" w:hint="eastAsia"/>
          <w:b/>
          <w:sz w:val="32"/>
          <w:szCs w:val="24"/>
        </w:rPr>
        <w:t>（一）评估</w:t>
      </w:r>
      <w:bookmarkEnd w:id="44"/>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公司定期对风险管控与隐患治理双重预防体系运行情况进行系统性评估或更新；评估或更新应包括体系改进的可能性和对体系进行修改的必要性。应根据非常规作业活动、新增功能性区域、装置或设施等适时开展风险辨识和风险评价，以确保其持续可行性、适宜性、充分性和有效性。</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2、公司组织开展双重预防体系运行情况自评工作，形成自评报告，并将自评结果对管理人员和从业人员通报，作为年度安全绩效考评的依据。</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3、公司发生生产安全事故后，通过自评全面查找双重预防体系</w:t>
      </w:r>
      <w:r w:rsidRPr="00ED623C">
        <w:rPr>
          <w:rFonts w:ascii="仿宋" w:eastAsia="仿宋" w:hAnsi="仿宋" w:cs="仿宋" w:hint="eastAsia"/>
          <w:sz w:val="28"/>
          <w:szCs w:val="28"/>
        </w:rPr>
        <w:lastRenderedPageBreak/>
        <w:t>存在的缺陷和不足。</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4、对较大、重大风险的评估每年进行一次，对一般和低风险每三年评估一次。评估记录至少保存5年。</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45" w:name="_Toc3431"/>
      <w:r w:rsidRPr="00ED623C">
        <w:rPr>
          <w:rFonts w:ascii="Calibri" w:eastAsia="宋体" w:hAnsi="Calibri" w:cs="宋体" w:hint="eastAsia"/>
          <w:b/>
          <w:sz w:val="32"/>
          <w:szCs w:val="24"/>
        </w:rPr>
        <w:t>（二）更新</w:t>
      </w:r>
      <w:bookmarkEnd w:id="45"/>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公司根据以下情况变化，及时更新风险与隐患信息：</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1.法律法规及标准规程变化或更新；</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2.政府规范性文件提出新要求；</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3.公司组织机构和安全管理机制发生变化；</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4.公司生产工艺技术发生变化；</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5.设施设备增减、使用的原辅材料变化；</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6.公司自身提出更高的安全管理要求；</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7.事故（事件）或应急预案演练结果反馈的需求；</w:t>
      </w:r>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8.其他情形出现应当进行更新的。</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46" w:name="_Toc20333"/>
      <w:r w:rsidRPr="00ED623C">
        <w:rPr>
          <w:rFonts w:ascii="Calibri" w:eastAsia="宋体" w:hAnsi="Calibri" w:cs="宋体" w:hint="eastAsia"/>
          <w:b/>
          <w:sz w:val="32"/>
          <w:szCs w:val="24"/>
        </w:rPr>
        <w:t>（三）沟通</w:t>
      </w:r>
      <w:bookmarkEnd w:id="46"/>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公司应建立有效的内外沟通机制，通过双重预防体系信息管理平台及时向监管部门报告风险（隐患）信息，实现数据交换、信息共享，提高管控效果和效率。</w:t>
      </w:r>
    </w:p>
    <w:p w:rsidR="00ED623C" w:rsidRPr="00ED623C" w:rsidRDefault="00ED623C" w:rsidP="00ED623C">
      <w:pPr>
        <w:keepNext/>
        <w:keepLines/>
        <w:spacing w:before="260" w:after="260" w:line="412" w:lineRule="auto"/>
        <w:outlineLvl w:val="2"/>
        <w:rPr>
          <w:rFonts w:ascii="Calibri" w:eastAsia="宋体" w:hAnsi="Calibri" w:cs="宋体"/>
          <w:b/>
          <w:sz w:val="32"/>
          <w:szCs w:val="24"/>
        </w:rPr>
      </w:pPr>
      <w:bookmarkStart w:id="47" w:name="_Toc1452"/>
      <w:r w:rsidRPr="00ED623C">
        <w:rPr>
          <w:rFonts w:ascii="Calibri" w:eastAsia="宋体" w:hAnsi="Calibri" w:cs="宋体" w:hint="eastAsia"/>
          <w:b/>
          <w:sz w:val="32"/>
          <w:szCs w:val="24"/>
        </w:rPr>
        <w:t>（四）考核</w:t>
      </w:r>
      <w:bookmarkEnd w:id="47"/>
    </w:p>
    <w:p w:rsidR="00ED623C" w:rsidRPr="00ED623C" w:rsidRDefault="00ED623C" w:rsidP="00ED623C">
      <w:pPr>
        <w:ind w:firstLineChars="200" w:firstLine="560"/>
        <w:rPr>
          <w:rFonts w:ascii="仿宋" w:eastAsia="仿宋" w:hAnsi="仿宋" w:cs="仿宋"/>
          <w:sz w:val="28"/>
          <w:szCs w:val="28"/>
        </w:rPr>
      </w:pPr>
      <w:r w:rsidRPr="00ED623C">
        <w:rPr>
          <w:rFonts w:ascii="仿宋" w:eastAsia="仿宋" w:hAnsi="仿宋" w:cs="仿宋" w:hint="eastAsia"/>
          <w:sz w:val="28"/>
          <w:szCs w:val="28"/>
        </w:rPr>
        <w:t>公司建立健全内部激励约束机制和绩效考核制度，调动和提高全员参与安全管理的积极主动性。对个人应奖惩并重，以奖为主；对部</w:t>
      </w:r>
      <w:r w:rsidRPr="00ED623C">
        <w:rPr>
          <w:rFonts w:ascii="仿宋" w:eastAsia="仿宋" w:hAnsi="仿宋" w:cs="仿宋" w:hint="eastAsia"/>
          <w:sz w:val="28"/>
          <w:szCs w:val="28"/>
        </w:rPr>
        <w:lastRenderedPageBreak/>
        <w:t>门或单位，建立一套绩效考核办法，定期考核。</w:t>
      </w:r>
    </w:p>
    <w:p w:rsidR="00ED623C" w:rsidRPr="00ED623C" w:rsidRDefault="00ED623C" w:rsidP="00ED623C">
      <w:pPr>
        <w:rPr>
          <w:rFonts w:ascii="仿宋" w:eastAsia="仿宋" w:hAnsi="仿宋" w:cs="仿宋"/>
          <w:b/>
          <w:bCs/>
          <w:sz w:val="24"/>
          <w:szCs w:val="24"/>
        </w:rPr>
      </w:pPr>
    </w:p>
    <w:p w:rsidR="00482BD2" w:rsidRPr="00ED623C" w:rsidRDefault="00482BD2"/>
    <w:sectPr w:rsidR="00482BD2" w:rsidRPr="00ED623C" w:rsidSect="00ED623C">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DD5" w:rsidRDefault="00D94DD5" w:rsidP="00ED623C">
      <w:r>
        <w:separator/>
      </w:r>
    </w:p>
  </w:endnote>
  <w:endnote w:type="continuationSeparator" w:id="0">
    <w:p w:rsidR="00D94DD5" w:rsidRDefault="00D94DD5" w:rsidP="00ED62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59E" w:rsidRDefault="00C4359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59E" w:rsidRDefault="00C4359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59E" w:rsidRDefault="00C435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DD5" w:rsidRDefault="00D94DD5" w:rsidP="00ED623C">
      <w:r>
        <w:separator/>
      </w:r>
    </w:p>
  </w:footnote>
  <w:footnote w:type="continuationSeparator" w:id="0">
    <w:p w:rsidR="00D94DD5" w:rsidRDefault="00D94DD5" w:rsidP="00ED6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59E" w:rsidRDefault="00C4359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3C" w:rsidRPr="00ED623C" w:rsidRDefault="00ED623C" w:rsidP="00ED623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59E" w:rsidRDefault="00C4359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42E2A5"/>
    <w:multiLevelType w:val="singleLevel"/>
    <w:tmpl w:val="A742E2A5"/>
    <w:lvl w:ilvl="0">
      <w:start w:val="1"/>
      <w:numFmt w:val="decimal"/>
      <w:suff w:val="nothing"/>
      <w:lvlText w:val="（%1）"/>
      <w:lvlJc w:val="left"/>
      <w:pPr>
        <w:ind w:left="560" w:firstLine="0"/>
      </w:pPr>
    </w:lvl>
  </w:abstractNum>
  <w:abstractNum w:abstractNumId="1">
    <w:nsid w:val="5C3FDD71"/>
    <w:multiLevelType w:val="singleLevel"/>
    <w:tmpl w:val="5C3FDD71"/>
    <w:lvl w:ilvl="0">
      <w:start w:val="2"/>
      <w:numFmt w:val="decimal"/>
      <w:suff w:val="nothing"/>
      <w:lvlText w:val="%1、"/>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2127"/>
    <w:rsid w:val="000262EB"/>
    <w:rsid w:val="003B2127"/>
    <w:rsid w:val="004711F4"/>
    <w:rsid w:val="00482BD2"/>
    <w:rsid w:val="00A81D18"/>
    <w:rsid w:val="00A9377D"/>
    <w:rsid w:val="00AF402D"/>
    <w:rsid w:val="00AF4A9C"/>
    <w:rsid w:val="00C4359E"/>
    <w:rsid w:val="00D94DD5"/>
    <w:rsid w:val="00ED62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A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23C"/>
    <w:rPr>
      <w:sz w:val="18"/>
      <w:szCs w:val="18"/>
    </w:rPr>
  </w:style>
  <w:style w:type="paragraph" w:styleId="a4">
    <w:name w:val="footer"/>
    <w:basedOn w:val="a"/>
    <w:link w:val="Char0"/>
    <w:uiPriority w:val="99"/>
    <w:unhideWhenUsed/>
    <w:rsid w:val="00ED623C"/>
    <w:pPr>
      <w:tabs>
        <w:tab w:val="center" w:pos="4153"/>
        <w:tab w:val="right" w:pos="8306"/>
      </w:tabs>
      <w:snapToGrid w:val="0"/>
      <w:jc w:val="left"/>
    </w:pPr>
    <w:rPr>
      <w:sz w:val="18"/>
      <w:szCs w:val="18"/>
    </w:rPr>
  </w:style>
  <w:style w:type="character" w:customStyle="1" w:styleId="Char0">
    <w:name w:val="页脚 Char"/>
    <w:basedOn w:val="a0"/>
    <w:link w:val="a4"/>
    <w:uiPriority w:val="99"/>
    <w:rsid w:val="00ED623C"/>
    <w:rPr>
      <w:sz w:val="18"/>
      <w:szCs w:val="18"/>
    </w:rPr>
  </w:style>
  <w:style w:type="paragraph" w:styleId="a5">
    <w:name w:val="Balloon Text"/>
    <w:basedOn w:val="a"/>
    <w:link w:val="Char1"/>
    <w:uiPriority w:val="99"/>
    <w:semiHidden/>
    <w:unhideWhenUsed/>
    <w:rsid w:val="004711F4"/>
    <w:rPr>
      <w:sz w:val="18"/>
      <w:szCs w:val="18"/>
    </w:rPr>
  </w:style>
  <w:style w:type="character" w:customStyle="1" w:styleId="Char1">
    <w:name w:val="批注框文本 Char"/>
    <w:basedOn w:val="a0"/>
    <w:link w:val="a5"/>
    <w:uiPriority w:val="99"/>
    <w:semiHidden/>
    <w:rsid w:val="004711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23C"/>
    <w:rPr>
      <w:sz w:val="18"/>
      <w:szCs w:val="18"/>
    </w:rPr>
  </w:style>
  <w:style w:type="paragraph" w:styleId="a4">
    <w:name w:val="footer"/>
    <w:basedOn w:val="a"/>
    <w:link w:val="Char0"/>
    <w:uiPriority w:val="99"/>
    <w:unhideWhenUsed/>
    <w:rsid w:val="00ED623C"/>
    <w:pPr>
      <w:tabs>
        <w:tab w:val="center" w:pos="4153"/>
        <w:tab w:val="right" w:pos="8306"/>
      </w:tabs>
      <w:snapToGrid w:val="0"/>
      <w:jc w:val="left"/>
    </w:pPr>
    <w:rPr>
      <w:sz w:val="18"/>
      <w:szCs w:val="18"/>
    </w:rPr>
  </w:style>
  <w:style w:type="character" w:customStyle="1" w:styleId="Char0">
    <w:name w:val="页脚 Char"/>
    <w:basedOn w:val="a0"/>
    <w:link w:val="a4"/>
    <w:uiPriority w:val="99"/>
    <w:rsid w:val="00ED623C"/>
    <w:rPr>
      <w:sz w:val="18"/>
      <w:szCs w:val="18"/>
    </w:rPr>
  </w:style>
  <w:style w:type="paragraph" w:styleId="a5">
    <w:name w:val="Balloon Text"/>
    <w:basedOn w:val="a"/>
    <w:link w:val="Char1"/>
    <w:uiPriority w:val="99"/>
    <w:semiHidden/>
    <w:unhideWhenUsed/>
    <w:rsid w:val="004711F4"/>
    <w:rPr>
      <w:sz w:val="18"/>
      <w:szCs w:val="18"/>
    </w:rPr>
  </w:style>
  <w:style w:type="character" w:customStyle="1" w:styleId="Char1">
    <w:name w:val="批注框文本 Char"/>
    <w:basedOn w:val="a0"/>
    <w:link w:val="a5"/>
    <w:uiPriority w:val="99"/>
    <w:semiHidden/>
    <w:rsid w:val="004711F4"/>
    <w:rPr>
      <w:sz w:val="18"/>
      <w:szCs w:val="18"/>
    </w:rPr>
  </w:style>
</w:styles>
</file>

<file path=word/webSettings.xml><?xml version="1.0" encoding="utf-8"?>
<w:webSettings xmlns:r="http://schemas.openxmlformats.org/officeDocument/2006/relationships" xmlns:w="http://schemas.openxmlformats.org/wordprocessingml/2006/main">
  <w:divs>
    <w:div w:id="754668551">
      <w:bodyDiv w:val="1"/>
      <w:marLeft w:val="0"/>
      <w:marRight w:val="0"/>
      <w:marTop w:val="0"/>
      <w:marBottom w:val="0"/>
      <w:divBdr>
        <w:top w:val="none" w:sz="0" w:space="0" w:color="auto"/>
        <w:left w:val="none" w:sz="0" w:space="0" w:color="auto"/>
        <w:bottom w:val="none" w:sz="0" w:space="0" w:color="auto"/>
        <w:right w:val="none" w:sz="0" w:space="0" w:color="auto"/>
      </w:divBdr>
    </w:div>
    <w:div w:id="868494055">
      <w:bodyDiv w:val="1"/>
      <w:marLeft w:val="0"/>
      <w:marRight w:val="0"/>
      <w:marTop w:val="0"/>
      <w:marBottom w:val="0"/>
      <w:divBdr>
        <w:top w:val="none" w:sz="0" w:space="0" w:color="auto"/>
        <w:left w:val="none" w:sz="0" w:space="0" w:color="auto"/>
        <w:bottom w:val="none" w:sz="0" w:space="0" w:color="auto"/>
        <w:right w:val="none" w:sz="0" w:space="0" w:color="auto"/>
      </w:divBdr>
    </w:div>
    <w:div w:id="1017733595">
      <w:bodyDiv w:val="1"/>
      <w:marLeft w:val="0"/>
      <w:marRight w:val="0"/>
      <w:marTop w:val="0"/>
      <w:marBottom w:val="0"/>
      <w:divBdr>
        <w:top w:val="none" w:sz="0" w:space="0" w:color="auto"/>
        <w:left w:val="none" w:sz="0" w:space="0" w:color="auto"/>
        <w:bottom w:val="none" w:sz="0" w:space="0" w:color="auto"/>
        <w:right w:val="none" w:sz="0" w:space="0" w:color="auto"/>
      </w:divBdr>
    </w:div>
    <w:div w:id="1408766841">
      <w:bodyDiv w:val="1"/>
      <w:marLeft w:val="0"/>
      <w:marRight w:val="0"/>
      <w:marTop w:val="0"/>
      <w:marBottom w:val="0"/>
      <w:divBdr>
        <w:top w:val="none" w:sz="0" w:space="0" w:color="auto"/>
        <w:left w:val="none" w:sz="0" w:space="0" w:color="auto"/>
        <w:bottom w:val="none" w:sz="0" w:space="0" w:color="auto"/>
        <w:right w:val="none" w:sz="0" w:space="0" w:color="auto"/>
      </w:divBdr>
    </w:div>
    <w:div w:id="163613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18"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26"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9"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 Type="http://schemas.openxmlformats.org/officeDocument/2006/relationships/settings" Target="settings.xml"/><Relationship Id="rId21"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4"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2"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7" Type="http://schemas.openxmlformats.org/officeDocument/2006/relationships/image" Target="media/image1.png"/><Relationship Id="rId50"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25"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3"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8"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6"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2" Type="http://schemas.openxmlformats.org/officeDocument/2006/relationships/styles" Target="styles.xml"/><Relationship Id="rId16"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20"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29"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1"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2"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7"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0"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5"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5" Type="http://schemas.openxmlformats.org/officeDocument/2006/relationships/footnotes" Target="footnotes.xml"/><Relationship Id="rId15"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23"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28"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6"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1"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4"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22"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27"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0"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35"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3" Type="http://schemas.openxmlformats.org/officeDocument/2006/relationships/hyperlink" Target="file:///E:\&#20010;&#20154;\13%20&#21452;&#20307;&#31995;&amp;amp;&#26631;&#20934;&#21270;\&#27827;&#21335;&#26161;&#37117;&#20844;&#21496;&#21452;&#20307;&#31995;&#20840;&#22871;&#36164;&#26009;\7300%20&#21452;&#37325;&#39044;&#38450;&#20307;&#31995;&#24314;&#35774;&#23454;&#26045;&#32454;&#21017;.docx" TargetMode="External"/><Relationship Id="rId48"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2870</Words>
  <Characters>16361</Characters>
  <Application>Microsoft Office Word</Application>
  <DocSecurity>0</DocSecurity>
  <Lines>136</Lines>
  <Paragraphs>38</Paragraphs>
  <ScaleCrop>false</ScaleCrop>
  <Company>Microsoft</Company>
  <LinksUpToDate>false</LinksUpToDate>
  <CharactersWithSpaces>19193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DZ0214</dc:creator>
  <cp:lastModifiedBy>Administrator</cp:lastModifiedBy>
  <cp:revision>6</cp:revision>
  <cp:lastPrinted>2020-05-06T07:14:00Z</cp:lastPrinted>
  <dcterms:created xsi:type="dcterms:W3CDTF">2020-05-06T07:00:00Z</dcterms:created>
  <dcterms:modified xsi:type="dcterms:W3CDTF">2026-03-03T09:10:00Z</dcterms:modified>
  <cp:version>公众号：安全小课桌;</cp:version>
</cp:coreProperties>
</file>