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515" w:rsidRDefault="000C6CAF">
      <w:pPr>
        <w:jc w:val="center"/>
        <w:rPr>
          <w:rFonts w:asciiTheme="minorEastAsia" w:hAnsiTheme="minorEastAsia" w:cstheme="minorEastAsia"/>
          <w:b/>
          <w:bCs/>
          <w:sz w:val="36"/>
        </w:rPr>
      </w:pPr>
      <w:r>
        <w:rPr>
          <w:rFonts w:asciiTheme="minorEastAsia" w:hAnsiTheme="minorEastAsia" w:cstheme="minorEastAsia" w:hint="eastAsia"/>
          <w:b/>
          <w:bCs/>
          <w:sz w:val="36"/>
        </w:rPr>
        <w:t>隐患排查治理体系建设作业指导书</w:t>
      </w:r>
    </w:p>
    <w:p w:rsidR="00B31515" w:rsidRDefault="00B31515">
      <w:pPr>
        <w:rPr>
          <w:rFonts w:asciiTheme="minorEastAsia" w:hAnsiTheme="minorEastAsia" w:cstheme="minorEastAsia"/>
        </w:rPr>
      </w:pPr>
    </w:p>
    <w:p w:rsidR="00B31515" w:rsidRDefault="000C6CAF">
      <w:pPr>
        <w:pStyle w:val="2"/>
        <w:spacing w:before="0" w:after="0" w:line="360" w:lineRule="auto"/>
        <w:rPr>
          <w:rFonts w:asciiTheme="minorEastAsia" w:eastAsiaTheme="minorEastAsia" w:hAnsiTheme="minorEastAsia" w:cstheme="minorEastAsia"/>
          <w:kern w:val="0"/>
          <w:sz w:val="28"/>
          <w:szCs w:val="28"/>
        </w:rPr>
      </w:pPr>
      <w:bookmarkStart w:id="0" w:name="_Toc32725"/>
      <w:bookmarkStart w:id="1" w:name="_Toc21586"/>
      <w:r>
        <w:rPr>
          <w:rFonts w:asciiTheme="minorEastAsia" w:eastAsiaTheme="minorEastAsia" w:hAnsiTheme="minorEastAsia" w:cstheme="minorEastAsia" w:hint="eastAsia"/>
          <w:kern w:val="0"/>
          <w:sz w:val="28"/>
          <w:szCs w:val="28"/>
        </w:rPr>
        <w:t>1</w:t>
      </w:r>
      <w:r>
        <w:rPr>
          <w:rFonts w:asciiTheme="minorEastAsia" w:eastAsiaTheme="minorEastAsia" w:hAnsiTheme="minorEastAsia" w:cstheme="minorEastAsia" w:hint="eastAsia"/>
          <w:kern w:val="0"/>
          <w:sz w:val="28"/>
          <w:szCs w:val="28"/>
        </w:rPr>
        <w:t>.</w:t>
      </w:r>
      <w:r>
        <w:rPr>
          <w:rFonts w:asciiTheme="minorEastAsia" w:eastAsiaTheme="minorEastAsia" w:hAnsiTheme="minorEastAsia" w:cstheme="minorEastAsia" w:hint="eastAsia"/>
          <w:kern w:val="0"/>
          <w:sz w:val="28"/>
          <w:szCs w:val="28"/>
        </w:rPr>
        <w:t>目的</w:t>
      </w:r>
    </w:p>
    <w:p w:rsidR="00B31515" w:rsidRDefault="000C6CAF">
      <w:pPr>
        <w:pStyle w:val="2"/>
        <w:spacing w:before="0" w:after="0" w:line="360" w:lineRule="auto"/>
        <w:ind w:firstLineChars="200" w:firstLine="560"/>
        <w:rPr>
          <w:rFonts w:asciiTheme="minorEastAsia" w:eastAsiaTheme="minorEastAsia" w:hAnsiTheme="minorEastAsia" w:cstheme="minorEastAsia"/>
          <w:b w:val="0"/>
          <w:bCs w:val="0"/>
          <w:sz w:val="28"/>
          <w:szCs w:val="28"/>
        </w:rPr>
      </w:pPr>
      <w:r>
        <w:rPr>
          <w:rFonts w:asciiTheme="minorEastAsia" w:eastAsiaTheme="minorEastAsia" w:hAnsiTheme="minorEastAsia" w:cstheme="minorEastAsia" w:hint="eastAsia"/>
          <w:b w:val="0"/>
          <w:bCs w:val="0"/>
          <w:sz w:val="28"/>
          <w:szCs w:val="28"/>
        </w:rPr>
        <w:t>为有效推进风险分级管控体系的建设工作，特制订风险分级管控体系建设作业指导书。</w:t>
      </w:r>
    </w:p>
    <w:p w:rsidR="00B31515" w:rsidRDefault="000C6CAF">
      <w:pPr>
        <w:pStyle w:val="2"/>
        <w:spacing w:before="0" w:after="0" w:line="360" w:lineRule="auto"/>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2.</w:t>
      </w:r>
      <w:r>
        <w:rPr>
          <w:rFonts w:asciiTheme="minorEastAsia" w:eastAsiaTheme="minorEastAsia" w:hAnsiTheme="minorEastAsia" w:cstheme="minorEastAsia" w:hint="eastAsia"/>
          <w:kern w:val="0"/>
          <w:sz w:val="28"/>
          <w:szCs w:val="28"/>
        </w:rPr>
        <w:t>健全机构</w:t>
      </w:r>
      <w:bookmarkEnd w:id="0"/>
      <w:bookmarkEnd w:id="1"/>
    </w:p>
    <w:p w:rsidR="00B31515" w:rsidRDefault="000C6CAF">
      <w:pPr>
        <w:autoSpaceDE w:val="0"/>
        <w:autoSpaceDN w:val="0"/>
        <w:adjustRightInd w:val="0"/>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公司成立了</w:t>
      </w:r>
      <w:r>
        <w:rPr>
          <w:rFonts w:asciiTheme="minorEastAsia" w:hAnsiTheme="minorEastAsia" w:cstheme="minorEastAsia" w:hint="eastAsia"/>
          <w:sz w:val="28"/>
          <w:szCs w:val="28"/>
        </w:rPr>
        <w:t>双重预防体系</w:t>
      </w:r>
      <w:r>
        <w:rPr>
          <w:rFonts w:asciiTheme="minorEastAsia" w:hAnsiTheme="minorEastAsia" w:cstheme="minorEastAsia" w:hint="eastAsia"/>
          <w:sz w:val="28"/>
          <w:szCs w:val="28"/>
        </w:rPr>
        <w:t>建设推动领导小组（见成立文件），遵循全员参与、分级负责、重在落实的原则。公司从总经理到公司员工层层落实在责任。公司负责人作为公司的事故隐患排查治理体系建设第一责任人，并保证隐患排查治理的资源投入。其他部门及人员应负责职责范围内的隐患排查治理工作，以确保隐患得到治理。</w:t>
      </w:r>
    </w:p>
    <w:p w:rsidR="00B31515" w:rsidRDefault="000C6CAF">
      <w:pPr>
        <w:pStyle w:val="2"/>
        <w:spacing w:before="0" w:after="0" w:line="360" w:lineRule="auto"/>
        <w:rPr>
          <w:rFonts w:asciiTheme="minorEastAsia" w:eastAsiaTheme="minorEastAsia" w:hAnsiTheme="minorEastAsia" w:cstheme="minorEastAsia"/>
          <w:kern w:val="0"/>
          <w:sz w:val="28"/>
          <w:szCs w:val="28"/>
        </w:rPr>
      </w:pPr>
      <w:bookmarkStart w:id="2" w:name="_Toc24577"/>
      <w:bookmarkStart w:id="3" w:name="_Toc32261"/>
      <w:r>
        <w:rPr>
          <w:rFonts w:asciiTheme="minorEastAsia" w:eastAsiaTheme="minorEastAsia" w:hAnsiTheme="minorEastAsia" w:cstheme="minorEastAsia" w:hint="eastAsia"/>
          <w:kern w:val="0"/>
          <w:sz w:val="28"/>
          <w:szCs w:val="28"/>
        </w:rPr>
        <w:t>3.</w:t>
      </w:r>
      <w:r>
        <w:rPr>
          <w:rFonts w:asciiTheme="minorEastAsia" w:eastAsiaTheme="minorEastAsia" w:hAnsiTheme="minorEastAsia" w:cstheme="minorEastAsia" w:hint="eastAsia"/>
          <w:kern w:val="0"/>
          <w:sz w:val="28"/>
          <w:szCs w:val="28"/>
        </w:rPr>
        <w:t>完善制度</w:t>
      </w:r>
      <w:bookmarkEnd w:id="2"/>
      <w:bookmarkEnd w:id="3"/>
    </w:p>
    <w:p w:rsidR="00B31515" w:rsidRDefault="000C6CAF">
      <w:pPr>
        <w:autoSpaceDE w:val="0"/>
        <w:autoSpaceDN w:val="0"/>
        <w:adjustRightInd w:val="0"/>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公司建立了完善了各项制度，包括事故隐患排查治理制度，制定隐患排查计划编制隐患排查清单（包括生产现场类和基础管理类），隐患整改通知单、隐患排查治理台账等记录。</w:t>
      </w:r>
    </w:p>
    <w:p w:rsidR="00B31515" w:rsidRDefault="000C6CAF">
      <w:pPr>
        <w:pStyle w:val="2"/>
        <w:spacing w:before="0" w:after="0" w:line="360" w:lineRule="auto"/>
        <w:rPr>
          <w:rFonts w:asciiTheme="minorEastAsia" w:eastAsiaTheme="minorEastAsia" w:hAnsiTheme="minorEastAsia" w:cstheme="minorEastAsia"/>
          <w:kern w:val="0"/>
          <w:sz w:val="28"/>
          <w:szCs w:val="28"/>
        </w:rPr>
      </w:pPr>
      <w:bookmarkStart w:id="4" w:name="_Toc28774"/>
      <w:bookmarkStart w:id="5" w:name="_Toc11662"/>
      <w:r>
        <w:rPr>
          <w:rFonts w:asciiTheme="minorEastAsia" w:eastAsiaTheme="minorEastAsia" w:hAnsiTheme="minorEastAsia" w:cstheme="minorEastAsia" w:hint="eastAsia"/>
          <w:kern w:val="0"/>
          <w:sz w:val="28"/>
          <w:szCs w:val="28"/>
        </w:rPr>
        <w:t>4.</w:t>
      </w:r>
      <w:r>
        <w:rPr>
          <w:rFonts w:asciiTheme="minorEastAsia" w:eastAsiaTheme="minorEastAsia" w:hAnsiTheme="minorEastAsia" w:cstheme="minorEastAsia" w:hint="eastAsia"/>
          <w:kern w:val="0"/>
          <w:sz w:val="28"/>
          <w:szCs w:val="28"/>
        </w:rPr>
        <w:t>组织培训</w:t>
      </w:r>
      <w:bookmarkEnd w:id="4"/>
      <w:bookmarkEnd w:id="5"/>
    </w:p>
    <w:p w:rsidR="00B31515" w:rsidRDefault="000C6CAF">
      <w:pPr>
        <w:autoSpaceDE w:val="0"/>
        <w:autoSpaceDN w:val="0"/>
        <w:adjustRightInd w:val="0"/>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公司在在安全生产风险分级管控体系、安全生产标准化等安全管理体系的基础上，进一步完善隐患排查治理制度及相关记录文件，形成一体化的安全管理体系，使隐患排查治理贯穿于生产活动全过程，成为公司各层级、各专业、各岗位日常工作重要组成部分。</w:t>
      </w:r>
    </w:p>
    <w:p w:rsidR="00B31515" w:rsidRDefault="000C6CAF">
      <w:pPr>
        <w:pStyle w:val="2"/>
        <w:spacing w:before="0" w:after="0" w:line="360" w:lineRule="auto"/>
        <w:rPr>
          <w:rFonts w:asciiTheme="minorEastAsia" w:eastAsiaTheme="minorEastAsia" w:hAnsiTheme="minorEastAsia" w:cstheme="minorEastAsia"/>
          <w:kern w:val="0"/>
          <w:sz w:val="28"/>
          <w:szCs w:val="28"/>
        </w:rPr>
      </w:pPr>
      <w:bookmarkStart w:id="6" w:name="_Toc1929"/>
      <w:bookmarkStart w:id="7" w:name="_Toc11426"/>
      <w:r>
        <w:rPr>
          <w:rFonts w:asciiTheme="minorEastAsia" w:eastAsiaTheme="minorEastAsia" w:hAnsiTheme="minorEastAsia" w:cstheme="minorEastAsia" w:hint="eastAsia"/>
          <w:kern w:val="0"/>
          <w:sz w:val="28"/>
          <w:szCs w:val="28"/>
        </w:rPr>
        <w:t>5.</w:t>
      </w:r>
      <w:r>
        <w:rPr>
          <w:rFonts w:asciiTheme="minorEastAsia" w:eastAsiaTheme="minorEastAsia" w:hAnsiTheme="minorEastAsia" w:cstheme="minorEastAsia" w:hint="eastAsia"/>
          <w:kern w:val="0"/>
          <w:sz w:val="28"/>
          <w:szCs w:val="28"/>
        </w:rPr>
        <w:t>落实责任</w:t>
      </w:r>
      <w:bookmarkEnd w:id="6"/>
      <w:bookmarkEnd w:id="7"/>
    </w:p>
    <w:p w:rsidR="00B31515" w:rsidRDefault="000C6CAF">
      <w:pPr>
        <w:autoSpaceDE w:val="0"/>
        <w:autoSpaceDN w:val="0"/>
        <w:adjustRightInd w:val="0"/>
        <w:spacing w:line="360" w:lineRule="auto"/>
        <w:ind w:firstLineChars="200" w:firstLine="560"/>
        <w:jc w:val="left"/>
        <w:rPr>
          <w:rFonts w:asciiTheme="minorEastAsia" w:hAnsiTheme="minorEastAsia" w:cstheme="minorEastAsia"/>
          <w:sz w:val="28"/>
          <w:szCs w:val="28"/>
        </w:rPr>
      </w:pPr>
      <w:r>
        <w:rPr>
          <w:rFonts w:asciiTheme="minorEastAsia" w:hAnsiTheme="minorEastAsia" w:cstheme="minorEastAsia" w:hint="eastAsia"/>
          <w:sz w:val="28"/>
          <w:szCs w:val="28"/>
        </w:rPr>
        <w:t>5</w:t>
      </w:r>
      <w:r>
        <w:rPr>
          <w:rFonts w:asciiTheme="minorEastAsia" w:hAnsiTheme="minorEastAsia" w:cstheme="minorEastAsia" w:hint="eastAsia"/>
          <w:sz w:val="28"/>
          <w:szCs w:val="28"/>
        </w:rPr>
        <w:t>.1</w:t>
      </w:r>
      <w:r>
        <w:rPr>
          <w:rFonts w:asciiTheme="minorEastAsia" w:hAnsiTheme="minorEastAsia" w:cstheme="minorEastAsia" w:hint="eastAsia"/>
          <w:sz w:val="28"/>
          <w:szCs w:val="28"/>
        </w:rPr>
        <w:t>公司负责人成立体系建设，组织制定体系建设工作方案，定期部署对体系建设工作情况进行调查、督导</w:t>
      </w:r>
      <w:r>
        <w:rPr>
          <w:rFonts w:asciiTheme="minorEastAsia" w:hAnsiTheme="minorEastAsia" w:cstheme="minorEastAsia" w:hint="eastAsia"/>
          <w:sz w:val="28"/>
          <w:szCs w:val="28"/>
        </w:rPr>
        <w:t>和考核；</w:t>
      </w:r>
    </w:p>
    <w:p w:rsidR="00B31515" w:rsidRDefault="000C6CAF">
      <w:pPr>
        <w:autoSpaceDE w:val="0"/>
        <w:autoSpaceDN w:val="0"/>
        <w:adjustRightInd w:val="0"/>
        <w:spacing w:line="360" w:lineRule="auto"/>
        <w:ind w:firstLineChars="200" w:firstLine="560"/>
        <w:jc w:val="left"/>
        <w:rPr>
          <w:rFonts w:asciiTheme="minorEastAsia" w:hAnsiTheme="minorEastAsia" w:cstheme="minorEastAsia"/>
          <w:sz w:val="28"/>
          <w:szCs w:val="28"/>
        </w:rPr>
      </w:pPr>
      <w:r>
        <w:rPr>
          <w:rFonts w:asciiTheme="minorEastAsia" w:hAnsiTheme="minorEastAsia" w:cstheme="minorEastAsia" w:hint="eastAsia"/>
          <w:sz w:val="28"/>
          <w:szCs w:val="28"/>
        </w:rPr>
        <w:t>5</w:t>
      </w:r>
      <w:r>
        <w:rPr>
          <w:rFonts w:asciiTheme="minorEastAsia" w:hAnsiTheme="minorEastAsia" w:cstheme="minorEastAsia" w:hint="eastAsia"/>
          <w:sz w:val="28"/>
          <w:szCs w:val="28"/>
        </w:rPr>
        <w:t>.2</w:t>
      </w:r>
      <w:r>
        <w:rPr>
          <w:rFonts w:asciiTheme="minorEastAsia" w:hAnsiTheme="minorEastAsia" w:cstheme="minorEastAsia" w:hint="eastAsia"/>
          <w:sz w:val="28"/>
          <w:szCs w:val="28"/>
        </w:rPr>
        <w:t>公司各岗位负责人负责在各自管辖范围内做好体系建设工作；</w:t>
      </w:r>
    </w:p>
    <w:p w:rsidR="00B31515" w:rsidRDefault="000C6CAF">
      <w:pPr>
        <w:autoSpaceDE w:val="0"/>
        <w:autoSpaceDN w:val="0"/>
        <w:adjustRightInd w:val="0"/>
        <w:spacing w:line="360" w:lineRule="auto"/>
        <w:ind w:firstLineChars="200" w:firstLine="560"/>
        <w:jc w:val="left"/>
        <w:rPr>
          <w:rFonts w:asciiTheme="minorEastAsia" w:hAnsiTheme="minorEastAsia" w:cstheme="minorEastAsia"/>
          <w:sz w:val="28"/>
          <w:szCs w:val="28"/>
        </w:rPr>
      </w:pPr>
      <w:r>
        <w:rPr>
          <w:rFonts w:asciiTheme="minorEastAsia" w:hAnsiTheme="minorEastAsia" w:cstheme="minorEastAsia" w:hint="eastAsia"/>
          <w:sz w:val="28"/>
          <w:szCs w:val="28"/>
        </w:rPr>
        <w:t>5</w:t>
      </w:r>
      <w:r>
        <w:rPr>
          <w:rFonts w:asciiTheme="minorEastAsia" w:hAnsiTheme="minorEastAsia" w:cstheme="minorEastAsia" w:hint="eastAsia"/>
          <w:sz w:val="28"/>
          <w:szCs w:val="28"/>
        </w:rPr>
        <w:t>.3</w:t>
      </w:r>
      <w:r>
        <w:rPr>
          <w:rFonts w:asciiTheme="minorEastAsia" w:hAnsiTheme="minorEastAsia" w:cstheme="minorEastAsia" w:hint="eastAsia"/>
          <w:sz w:val="28"/>
          <w:szCs w:val="28"/>
        </w:rPr>
        <w:t>各岗位成员对各自承担的工作任务负责，严格按照工作方案的要求和进度完成各项工作。</w:t>
      </w:r>
    </w:p>
    <w:p w:rsidR="00B31515" w:rsidRDefault="000C6CAF">
      <w:pPr>
        <w:autoSpaceDE w:val="0"/>
        <w:autoSpaceDN w:val="0"/>
        <w:adjustRightInd w:val="0"/>
        <w:spacing w:line="360" w:lineRule="auto"/>
        <w:ind w:firstLineChars="200" w:firstLine="560"/>
        <w:jc w:val="left"/>
        <w:rPr>
          <w:rFonts w:asciiTheme="minorEastAsia" w:hAnsiTheme="minorEastAsia" w:cstheme="minorEastAsia"/>
          <w:sz w:val="28"/>
          <w:szCs w:val="28"/>
        </w:rPr>
      </w:pPr>
      <w:r>
        <w:rPr>
          <w:rFonts w:asciiTheme="minorEastAsia" w:hAnsiTheme="minorEastAsia" w:cstheme="minorEastAsia" w:hint="eastAsia"/>
          <w:sz w:val="28"/>
          <w:szCs w:val="28"/>
        </w:rPr>
        <w:lastRenderedPageBreak/>
        <w:t>5</w:t>
      </w:r>
      <w:r>
        <w:rPr>
          <w:rFonts w:asciiTheme="minorEastAsia" w:hAnsiTheme="minorEastAsia" w:cstheme="minorEastAsia" w:hint="eastAsia"/>
          <w:sz w:val="28"/>
          <w:szCs w:val="28"/>
        </w:rPr>
        <w:t>.4</w:t>
      </w:r>
      <w:r>
        <w:rPr>
          <w:rFonts w:asciiTheme="minorEastAsia" w:hAnsiTheme="minorEastAsia" w:cstheme="minorEastAsia" w:hint="eastAsia"/>
          <w:sz w:val="28"/>
          <w:szCs w:val="28"/>
        </w:rPr>
        <w:t>公司</w:t>
      </w:r>
      <w:r>
        <w:rPr>
          <w:rFonts w:asciiTheme="minorEastAsia" w:hAnsiTheme="minorEastAsia" w:cstheme="minorEastAsia" w:hint="eastAsia"/>
          <w:sz w:val="28"/>
          <w:szCs w:val="28"/>
        </w:rPr>
        <w:t>生产部</w:t>
      </w:r>
      <w:r>
        <w:rPr>
          <w:rFonts w:asciiTheme="minorEastAsia" w:hAnsiTheme="minorEastAsia" w:cstheme="minorEastAsia" w:hint="eastAsia"/>
          <w:sz w:val="28"/>
          <w:szCs w:val="28"/>
        </w:rPr>
        <w:t>负责建立健全隐患排查与治理档案，并将体系建设工作纳入安全生产责任制考核，确保体系运行持续有效。</w:t>
      </w:r>
    </w:p>
    <w:p w:rsidR="00B31515" w:rsidRDefault="000C6CAF">
      <w:pPr>
        <w:pStyle w:val="1"/>
        <w:spacing w:before="0" w:after="0" w:line="360" w:lineRule="auto"/>
        <w:rPr>
          <w:rFonts w:asciiTheme="minorEastAsia" w:eastAsiaTheme="minorEastAsia" w:hAnsiTheme="minorEastAsia" w:cstheme="minorEastAsia"/>
          <w:kern w:val="0"/>
          <w:sz w:val="28"/>
          <w:szCs w:val="28"/>
        </w:rPr>
      </w:pPr>
      <w:bookmarkStart w:id="8" w:name="_Toc28486"/>
      <w:bookmarkStart w:id="9" w:name="_Toc13412"/>
      <w:r>
        <w:rPr>
          <w:rFonts w:asciiTheme="minorEastAsia" w:eastAsiaTheme="minorEastAsia" w:hAnsiTheme="minorEastAsia" w:cstheme="minorEastAsia" w:hint="eastAsia"/>
          <w:kern w:val="0"/>
          <w:sz w:val="28"/>
          <w:szCs w:val="28"/>
        </w:rPr>
        <w:t>6</w:t>
      </w:r>
      <w:r>
        <w:rPr>
          <w:rFonts w:asciiTheme="minorEastAsia" w:eastAsiaTheme="minorEastAsia" w:hAnsiTheme="minorEastAsia" w:cstheme="minorEastAsia" w:hint="eastAsia"/>
          <w:kern w:val="0"/>
          <w:sz w:val="28"/>
          <w:szCs w:val="28"/>
        </w:rPr>
        <w:t>隐患分级与分类</w:t>
      </w:r>
      <w:bookmarkEnd w:id="8"/>
      <w:bookmarkEnd w:id="9"/>
    </w:p>
    <w:p w:rsidR="00B31515" w:rsidRDefault="000C6CAF">
      <w:pPr>
        <w:pStyle w:val="2"/>
        <w:spacing w:before="0" w:after="0" w:line="360" w:lineRule="auto"/>
        <w:rPr>
          <w:rFonts w:asciiTheme="minorEastAsia" w:eastAsiaTheme="minorEastAsia" w:hAnsiTheme="minorEastAsia" w:cstheme="minorEastAsia"/>
          <w:sz w:val="28"/>
          <w:szCs w:val="28"/>
        </w:rPr>
      </w:pPr>
      <w:bookmarkStart w:id="10" w:name="_Toc27908"/>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隐患分级</w:t>
      </w:r>
      <w:bookmarkEnd w:id="10"/>
    </w:p>
    <w:p w:rsidR="00B31515" w:rsidRDefault="000C6CAF">
      <w:pPr>
        <w:pStyle w:val="38"/>
        <w:spacing w:before="0" w:beforeAutospacing="0" w:after="0" w:afterAutospacing="0" w:line="360" w:lineRule="auto"/>
        <w:ind w:firstLineChars="200" w:firstLine="560"/>
        <w:rPr>
          <w:rFonts w:asciiTheme="minorEastAsia" w:eastAsiaTheme="minorEastAsia" w:hAnsiTheme="minorEastAsia" w:cstheme="minorEastAsia"/>
          <w:sz w:val="28"/>
          <w:szCs w:val="28"/>
        </w:rPr>
      </w:pPr>
      <w:bookmarkStart w:id="11" w:name="_Toc465778152"/>
      <w:bookmarkEnd w:id="11"/>
      <w:r>
        <w:rPr>
          <w:rFonts w:asciiTheme="minorEastAsia" w:eastAsiaTheme="minorEastAsia" w:hAnsiTheme="minorEastAsia" w:cstheme="minorEastAsia" w:hint="eastAsia"/>
          <w:sz w:val="28"/>
          <w:szCs w:val="28"/>
        </w:rPr>
        <w:t>根据隐患整改、治理和排除的难度及其可能导致事故后果和影响范围，分为一般事故隐患和重大事故隐患。</w:t>
      </w:r>
    </w:p>
    <w:p w:rsidR="00B31515" w:rsidRDefault="000C6CAF">
      <w:pPr>
        <w:pStyle w:val="45"/>
        <w:spacing w:before="0" w:beforeAutospacing="0" w:after="0" w:afterAutospacing="0" w:line="360" w:lineRule="auto"/>
        <w:rPr>
          <w:rFonts w:asciiTheme="minorEastAsia" w:eastAsiaTheme="minorEastAsia" w:hAnsiTheme="minorEastAsia" w:cstheme="minorEastAsia"/>
          <w:sz w:val="28"/>
          <w:szCs w:val="28"/>
        </w:rPr>
      </w:pPr>
      <w:bookmarkStart w:id="12" w:name="_Toc466565067"/>
      <w:bookmarkStart w:id="13" w:name="_Toc465780494"/>
      <w:bookmarkEnd w:id="12"/>
      <w:bookmarkEnd w:id="13"/>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.1.1</w:t>
      </w:r>
      <w:r>
        <w:rPr>
          <w:rFonts w:asciiTheme="minorEastAsia" w:eastAsiaTheme="minorEastAsia" w:hAnsiTheme="minorEastAsia" w:cstheme="minorEastAsia" w:hint="eastAsia"/>
          <w:sz w:val="28"/>
          <w:szCs w:val="28"/>
        </w:rPr>
        <w:t>一般事故隐患</w:t>
      </w:r>
    </w:p>
    <w:p w:rsidR="00B31515" w:rsidRDefault="000C6CAF">
      <w:pPr>
        <w:pStyle w:val="38"/>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危害和整改难度较小，发现后能够立即整改排除的隐患。</w:t>
      </w:r>
    </w:p>
    <w:p w:rsidR="00B31515" w:rsidRDefault="000C6CAF">
      <w:pPr>
        <w:pStyle w:val="45"/>
        <w:spacing w:before="0" w:beforeAutospacing="0" w:after="0" w:afterAutospacing="0" w:line="360" w:lineRule="auto"/>
        <w:rPr>
          <w:rFonts w:asciiTheme="minorEastAsia" w:eastAsiaTheme="minorEastAsia" w:hAnsiTheme="minorEastAsia" w:cstheme="minorEastAsia"/>
          <w:sz w:val="28"/>
          <w:szCs w:val="28"/>
        </w:rPr>
      </w:pPr>
      <w:bookmarkStart w:id="14" w:name="_Toc465778153"/>
      <w:bookmarkStart w:id="15" w:name="_Toc466565068"/>
      <w:bookmarkStart w:id="16" w:name="_Toc465780495"/>
      <w:bookmarkEnd w:id="14"/>
      <w:bookmarkEnd w:id="15"/>
      <w:bookmarkEnd w:id="16"/>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.1.2</w:t>
      </w:r>
      <w:r>
        <w:rPr>
          <w:rFonts w:asciiTheme="minorEastAsia" w:eastAsiaTheme="minorEastAsia" w:hAnsiTheme="minorEastAsia" w:cstheme="minorEastAsia" w:hint="eastAsia"/>
          <w:sz w:val="28"/>
          <w:szCs w:val="28"/>
        </w:rPr>
        <w:t>重大事故隐患</w:t>
      </w:r>
    </w:p>
    <w:p w:rsidR="00B31515" w:rsidRDefault="000C6CAF">
      <w:pPr>
        <w:pStyle w:val="38"/>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危害和整改难度较大，无法立即整改排除，需要全部或者局部停产停业，并经过一定时间整改治理方能排除的隐患，或者因外部因素影响致使生产经营单位自身难以排除的隐患。</w:t>
      </w:r>
    </w:p>
    <w:p w:rsidR="00B31515" w:rsidRDefault="000C6CAF">
      <w:pPr>
        <w:pStyle w:val="38"/>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6.1.2.1</w:t>
      </w:r>
      <w:r>
        <w:rPr>
          <w:rFonts w:asciiTheme="minorEastAsia" w:eastAsiaTheme="minorEastAsia" w:hAnsiTheme="minorEastAsia" w:cstheme="minorEastAsia" w:hint="eastAsia"/>
          <w:sz w:val="28"/>
          <w:szCs w:val="28"/>
        </w:rPr>
        <w:t>以下情形为重大事故隐患：</w:t>
      </w:r>
    </w:p>
    <w:p w:rsidR="00B31515" w:rsidRDefault="000C6CAF">
      <w:pPr>
        <w:pStyle w:val="38"/>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）违反法律法规有关规定，整改时间长或可能造成较严重危害的。</w:t>
      </w:r>
    </w:p>
    <w:p w:rsidR="00B31515" w:rsidRDefault="000C6CAF">
      <w:pPr>
        <w:pStyle w:val="38"/>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）涉及重大危险源且不能立即排除整改的隐患。</w:t>
      </w:r>
    </w:p>
    <w:p w:rsidR="00B31515" w:rsidRDefault="000C6CAF">
      <w:pPr>
        <w:pStyle w:val="38"/>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）涉及具有中毒、爆炸、火灾等危险且长期滞留人员在</w:t>
      </w:r>
      <w:r>
        <w:rPr>
          <w:rFonts w:asciiTheme="minorEastAsia" w:eastAsiaTheme="minorEastAsia" w:hAnsiTheme="minorEastAsia" w:cstheme="minorEastAsia" w:hint="eastAsia"/>
          <w:sz w:val="28"/>
          <w:szCs w:val="28"/>
        </w:rPr>
        <w:t>10</w:t>
      </w:r>
      <w:r>
        <w:rPr>
          <w:rFonts w:asciiTheme="minorEastAsia" w:eastAsiaTheme="minorEastAsia" w:hAnsiTheme="minorEastAsia" w:cstheme="minorEastAsia" w:hint="eastAsia"/>
          <w:sz w:val="28"/>
          <w:szCs w:val="28"/>
        </w:rPr>
        <w:t>人及以上的场所，存在不能立即排除整改的隐患。</w:t>
      </w:r>
    </w:p>
    <w:p w:rsidR="00B31515" w:rsidRDefault="000C6CAF">
      <w:pPr>
        <w:pStyle w:val="38"/>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）危害和整改难度较大，一定时间得不到整改的。</w:t>
      </w:r>
    </w:p>
    <w:p w:rsidR="00B31515" w:rsidRDefault="000C6CAF">
      <w:pPr>
        <w:pStyle w:val="38"/>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5</w:t>
      </w:r>
      <w:r>
        <w:rPr>
          <w:rFonts w:asciiTheme="minorEastAsia" w:eastAsiaTheme="minorEastAsia" w:hAnsiTheme="minorEastAsia" w:cstheme="minorEastAsia" w:hint="eastAsia"/>
          <w:sz w:val="28"/>
          <w:szCs w:val="28"/>
        </w:rPr>
        <w:t>）因外部因素影响致使生产经营单位自身难以排除的隐患。</w:t>
      </w:r>
    </w:p>
    <w:p w:rsidR="00B31515" w:rsidRDefault="000C6CAF">
      <w:pPr>
        <w:pStyle w:val="38"/>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）涉及粉尘防爆、有限空间、</w:t>
      </w:r>
      <w:r>
        <w:rPr>
          <w:rFonts w:asciiTheme="minorEastAsia" w:eastAsiaTheme="minorEastAsia" w:hAnsiTheme="minorEastAsia" w:cstheme="minorEastAsia" w:hint="eastAsia"/>
          <w:sz w:val="28"/>
          <w:szCs w:val="28"/>
        </w:rPr>
        <w:t>电解</w:t>
      </w:r>
      <w:r>
        <w:rPr>
          <w:rFonts w:asciiTheme="minorEastAsia" w:eastAsiaTheme="minorEastAsia" w:hAnsiTheme="minorEastAsia" w:cstheme="minorEastAsia" w:hint="eastAsia"/>
          <w:sz w:val="28"/>
          <w:szCs w:val="28"/>
        </w:rPr>
        <w:t>和高温熔融金属等危害和整改难度大，无法立即整改排除的隐患。</w:t>
      </w:r>
    </w:p>
    <w:p w:rsidR="00B31515" w:rsidRDefault="000C6CAF">
      <w:pPr>
        <w:pStyle w:val="38"/>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）设区的市级以上负有安全生产监督管理职责的部门认定的。</w:t>
      </w:r>
    </w:p>
    <w:p w:rsidR="00B31515" w:rsidRDefault="000C6CAF">
      <w:pPr>
        <w:pStyle w:val="38"/>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1.2.2</w:t>
      </w:r>
      <w:r>
        <w:rPr>
          <w:rFonts w:asciiTheme="minorEastAsia" w:eastAsiaTheme="minorEastAsia" w:hAnsiTheme="minorEastAsia" w:cstheme="minorEastAsia" w:hint="eastAsia"/>
          <w:sz w:val="28"/>
          <w:szCs w:val="28"/>
        </w:rPr>
        <w:t>根据《工贸行业重大事故隐患判定标准》，以下情形也应列为重大隐患：</w:t>
      </w:r>
    </w:p>
    <w:p w:rsidR="00B31515" w:rsidRDefault="000C6CAF">
      <w:pPr>
        <w:pStyle w:val="2"/>
        <w:spacing w:before="0" w:after="0" w:line="360" w:lineRule="auto"/>
        <w:ind w:firstLineChars="200" w:firstLine="560"/>
        <w:rPr>
          <w:rFonts w:asciiTheme="minorEastAsia" w:eastAsiaTheme="minorEastAsia" w:hAnsiTheme="minorEastAsia" w:cstheme="minorEastAsia"/>
          <w:b w:val="0"/>
          <w:bCs w:val="0"/>
          <w:sz w:val="28"/>
          <w:szCs w:val="28"/>
        </w:rPr>
      </w:pPr>
      <w:r>
        <w:rPr>
          <w:rFonts w:asciiTheme="minorEastAsia" w:eastAsiaTheme="minorEastAsia" w:hAnsiTheme="minorEastAsia" w:cstheme="minorEastAsia" w:hint="eastAsia"/>
          <w:b w:val="0"/>
          <w:bCs w:val="0"/>
          <w:sz w:val="28"/>
          <w:szCs w:val="28"/>
        </w:rPr>
        <w:lastRenderedPageBreak/>
        <w:t>1.</w:t>
      </w:r>
      <w:r>
        <w:rPr>
          <w:rFonts w:asciiTheme="minorEastAsia" w:eastAsiaTheme="minorEastAsia" w:hAnsiTheme="minorEastAsia" w:cstheme="minorEastAsia" w:hint="eastAsia"/>
          <w:b w:val="0"/>
          <w:bCs w:val="0"/>
          <w:sz w:val="28"/>
          <w:szCs w:val="28"/>
        </w:rPr>
        <w:t>吊运铜水等熔融有色金属及渣的起重机不符合冶金起重机的相关要求；横梁、耳轴销和吊钩、钢丝绳及其端头固定零件，未进行定期检查，发现问题未及时处理。</w:t>
      </w:r>
    </w:p>
    <w:p w:rsidR="00B31515" w:rsidRDefault="000C6CAF">
      <w:pPr>
        <w:pStyle w:val="2"/>
        <w:spacing w:before="0" w:after="0" w:line="360" w:lineRule="auto"/>
        <w:ind w:firstLineChars="200" w:firstLine="560"/>
        <w:rPr>
          <w:rFonts w:asciiTheme="minorEastAsia" w:eastAsiaTheme="minorEastAsia" w:hAnsiTheme="minorEastAsia" w:cstheme="minorEastAsia"/>
          <w:b w:val="0"/>
          <w:bCs w:val="0"/>
          <w:sz w:val="28"/>
          <w:szCs w:val="28"/>
        </w:rPr>
      </w:pPr>
      <w:r>
        <w:rPr>
          <w:rFonts w:asciiTheme="minorEastAsia" w:eastAsiaTheme="minorEastAsia" w:hAnsiTheme="minorEastAsia" w:cstheme="minorEastAsia" w:hint="eastAsia"/>
          <w:b w:val="0"/>
          <w:bCs w:val="0"/>
          <w:sz w:val="28"/>
          <w:szCs w:val="28"/>
        </w:rPr>
        <w:t>2.</w:t>
      </w:r>
      <w:r>
        <w:rPr>
          <w:rFonts w:asciiTheme="minorEastAsia" w:eastAsiaTheme="minorEastAsia" w:hAnsiTheme="minorEastAsia" w:cstheme="minorEastAsia" w:hint="eastAsia"/>
          <w:b w:val="0"/>
          <w:bCs w:val="0"/>
          <w:sz w:val="28"/>
          <w:szCs w:val="28"/>
        </w:rPr>
        <w:t>会议室、活动室、休息室、更衣室等场所设置在铜水等熔融有色金属及渣的吊</w:t>
      </w:r>
      <w:r>
        <w:rPr>
          <w:rFonts w:asciiTheme="minorEastAsia" w:eastAsiaTheme="minorEastAsia" w:hAnsiTheme="minorEastAsia" w:cstheme="minorEastAsia" w:hint="eastAsia"/>
          <w:b w:val="0"/>
          <w:bCs w:val="0"/>
          <w:sz w:val="28"/>
          <w:szCs w:val="28"/>
        </w:rPr>
        <w:t>运影响范围内。</w:t>
      </w:r>
    </w:p>
    <w:p w:rsidR="00B31515" w:rsidRDefault="000C6CAF">
      <w:pPr>
        <w:pStyle w:val="2"/>
        <w:spacing w:before="0" w:after="0" w:line="360" w:lineRule="auto"/>
        <w:ind w:firstLineChars="200" w:firstLine="560"/>
        <w:rPr>
          <w:rFonts w:asciiTheme="minorEastAsia" w:eastAsiaTheme="minorEastAsia" w:hAnsiTheme="minorEastAsia" w:cstheme="minorEastAsia"/>
          <w:b w:val="0"/>
          <w:bCs w:val="0"/>
          <w:sz w:val="28"/>
          <w:szCs w:val="28"/>
        </w:rPr>
      </w:pPr>
      <w:r>
        <w:rPr>
          <w:rFonts w:asciiTheme="minorEastAsia" w:eastAsiaTheme="minorEastAsia" w:hAnsiTheme="minorEastAsia" w:cstheme="minorEastAsia" w:hint="eastAsia"/>
          <w:b w:val="0"/>
          <w:bCs w:val="0"/>
          <w:sz w:val="28"/>
          <w:szCs w:val="28"/>
        </w:rPr>
        <w:t>3.</w:t>
      </w:r>
      <w:r>
        <w:rPr>
          <w:rFonts w:asciiTheme="minorEastAsia" w:eastAsiaTheme="minorEastAsia" w:hAnsiTheme="minorEastAsia" w:cstheme="minorEastAsia" w:hint="eastAsia"/>
          <w:b w:val="0"/>
          <w:bCs w:val="0"/>
          <w:sz w:val="28"/>
          <w:szCs w:val="28"/>
        </w:rPr>
        <w:t>盛装铜水等熔融有色金属及渣的罐（包、盆）等容器耳轴未定期进行检测。</w:t>
      </w:r>
    </w:p>
    <w:p w:rsidR="00B31515" w:rsidRDefault="000C6CAF">
      <w:pPr>
        <w:pStyle w:val="2"/>
        <w:spacing w:before="0" w:after="0" w:line="360" w:lineRule="auto"/>
        <w:ind w:firstLineChars="200" w:firstLine="560"/>
        <w:rPr>
          <w:rFonts w:asciiTheme="minorEastAsia" w:eastAsiaTheme="minorEastAsia" w:hAnsiTheme="minorEastAsia" w:cstheme="minorEastAsia"/>
          <w:b w:val="0"/>
          <w:bCs w:val="0"/>
          <w:sz w:val="28"/>
          <w:szCs w:val="28"/>
        </w:rPr>
      </w:pPr>
      <w:r>
        <w:rPr>
          <w:rFonts w:asciiTheme="minorEastAsia" w:eastAsiaTheme="minorEastAsia" w:hAnsiTheme="minorEastAsia" w:cstheme="minorEastAsia" w:hint="eastAsia"/>
          <w:b w:val="0"/>
          <w:bCs w:val="0"/>
          <w:sz w:val="28"/>
          <w:szCs w:val="28"/>
        </w:rPr>
        <w:t>4.</w:t>
      </w:r>
      <w:r>
        <w:rPr>
          <w:rFonts w:asciiTheme="minorEastAsia" w:eastAsiaTheme="minorEastAsia" w:hAnsiTheme="minorEastAsia" w:cstheme="minorEastAsia" w:hint="eastAsia"/>
          <w:b w:val="0"/>
          <w:bCs w:val="0"/>
          <w:sz w:val="28"/>
          <w:szCs w:val="28"/>
        </w:rPr>
        <w:t>铜水等高温熔融有色金属冶炼、精炼、铸造生产区域的安全坑内及熔体泄漏、喷溅影响范围内存在非生产性积水；熔体容易喷溅到的区域，放置有易燃易爆物品。</w:t>
      </w:r>
    </w:p>
    <w:p w:rsidR="00B31515" w:rsidRDefault="000C6CAF">
      <w:pPr>
        <w:pStyle w:val="2"/>
        <w:spacing w:before="0" w:after="0" w:line="360" w:lineRule="auto"/>
        <w:ind w:firstLineChars="200" w:firstLine="560"/>
        <w:rPr>
          <w:rFonts w:asciiTheme="minorEastAsia" w:eastAsiaTheme="minorEastAsia" w:hAnsiTheme="minorEastAsia" w:cstheme="minorEastAsia"/>
          <w:b w:val="0"/>
          <w:bCs w:val="0"/>
          <w:sz w:val="28"/>
          <w:szCs w:val="28"/>
        </w:rPr>
      </w:pPr>
      <w:r>
        <w:rPr>
          <w:rFonts w:asciiTheme="minorEastAsia" w:eastAsiaTheme="minorEastAsia" w:hAnsiTheme="minorEastAsia" w:cstheme="minorEastAsia" w:hint="eastAsia"/>
          <w:b w:val="0"/>
          <w:bCs w:val="0"/>
          <w:sz w:val="28"/>
          <w:szCs w:val="28"/>
        </w:rPr>
        <w:t>5.</w:t>
      </w:r>
      <w:r>
        <w:rPr>
          <w:rFonts w:asciiTheme="minorEastAsia" w:eastAsiaTheme="minorEastAsia" w:hAnsiTheme="minorEastAsia" w:cstheme="minorEastAsia" w:hint="eastAsia"/>
          <w:b w:val="0"/>
          <w:bCs w:val="0"/>
          <w:sz w:val="28"/>
          <w:szCs w:val="28"/>
        </w:rPr>
        <w:t>铜水等熔融有色金属铸造、浇铸流程未设置紧急排放和应急储存设施。</w:t>
      </w:r>
    </w:p>
    <w:p w:rsidR="00B31515" w:rsidRDefault="000C6CAF">
      <w:pPr>
        <w:pStyle w:val="2"/>
        <w:spacing w:before="0" w:after="0" w:line="360" w:lineRule="auto"/>
        <w:ind w:firstLineChars="200" w:firstLine="560"/>
        <w:rPr>
          <w:rFonts w:asciiTheme="minorEastAsia" w:eastAsiaTheme="minorEastAsia" w:hAnsiTheme="minorEastAsia" w:cstheme="minorEastAsia"/>
          <w:b w:val="0"/>
          <w:bCs w:val="0"/>
          <w:sz w:val="28"/>
          <w:szCs w:val="28"/>
        </w:rPr>
      </w:pPr>
      <w:r>
        <w:rPr>
          <w:rFonts w:asciiTheme="minorEastAsia" w:eastAsiaTheme="minorEastAsia" w:hAnsiTheme="minorEastAsia" w:cstheme="minorEastAsia" w:hint="eastAsia"/>
          <w:b w:val="0"/>
          <w:bCs w:val="0"/>
          <w:sz w:val="28"/>
          <w:szCs w:val="28"/>
        </w:rPr>
        <w:t>6.</w:t>
      </w:r>
      <w:r>
        <w:rPr>
          <w:rFonts w:asciiTheme="minorEastAsia" w:eastAsiaTheme="minorEastAsia" w:hAnsiTheme="minorEastAsia" w:cstheme="minorEastAsia" w:hint="eastAsia"/>
          <w:b w:val="0"/>
          <w:bCs w:val="0"/>
          <w:sz w:val="28"/>
          <w:szCs w:val="28"/>
        </w:rPr>
        <w:t>高温工作的熔融有色金属冶炼炉窑、铸造机、加热炉及水冷元件未设置应急冷却水源等冷却应急处置措施。</w:t>
      </w:r>
    </w:p>
    <w:p w:rsidR="00B31515" w:rsidRDefault="000C6CAF">
      <w:pPr>
        <w:pStyle w:val="2"/>
        <w:spacing w:before="0" w:after="0" w:line="360" w:lineRule="auto"/>
        <w:ind w:firstLineChars="200" w:firstLine="560"/>
        <w:rPr>
          <w:rFonts w:asciiTheme="minorEastAsia" w:eastAsiaTheme="minorEastAsia" w:hAnsiTheme="minorEastAsia" w:cstheme="minorEastAsia"/>
          <w:b w:val="0"/>
          <w:bCs w:val="0"/>
          <w:sz w:val="28"/>
          <w:szCs w:val="28"/>
        </w:rPr>
      </w:pPr>
      <w:r>
        <w:rPr>
          <w:rFonts w:asciiTheme="minorEastAsia" w:eastAsiaTheme="minorEastAsia" w:hAnsiTheme="minorEastAsia" w:cstheme="minorEastAsia" w:hint="eastAsia"/>
          <w:b w:val="0"/>
          <w:bCs w:val="0"/>
          <w:sz w:val="28"/>
          <w:szCs w:val="28"/>
        </w:rPr>
        <w:t>7.</w:t>
      </w:r>
      <w:r>
        <w:rPr>
          <w:rFonts w:asciiTheme="minorEastAsia" w:eastAsiaTheme="minorEastAsia" w:hAnsiTheme="minorEastAsia" w:cstheme="minorEastAsia" w:hint="eastAsia"/>
          <w:b w:val="0"/>
          <w:bCs w:val="0"/>
          <w:sz w:val="28"/>
          <w:szCs w:val="28"/>
        </w:rPr>
        <w:t>冶炼炉窑的水冷元件未配置温度、进出水流量差检测及报警装置；未设置防止冷却水大量进入炉内的安全设施（如：快</w:t>
      </w:r>
      <w:r>
        <w:rPr>
          <w:rFonts w:asciiTheme="minorEastAsia" w:eastAsiaTheme="minorEastAsia" w:hAnsiTheme="minorEastAsia" w:cstheme="minorEastAsia" w:hint="eastAsia"/>
          <w:b w:val="0"/>
          <w:bCs w:val="0"/>
          <w:sz w:val="28"/>
          <w:szCs w:val="28"/>
        </w:rPr>
        <w:t>速切断阀等）。</w:t>
      </w:r>
    </w:p>
    <w:p w:rsidR="00B31515" w:rsidRDefault="000C6CAF">
      <w:pPr>
        <w:pStyle w:val="2"/>
        <w:spacing w:before="0" w:after="0" w:line="360" w:lineRule="auto"/>
        <w:ind w:firstLineChars="200" w:firstLine="560"/>
        <w:rPr>
          <w:rFonts w:asciiTheme="minorEastAsia" w:eastAsiaTheme="minorEastAsia" w:hAnsiTheme="minorEastAsia" w:cstheme="minorEastAsia"/>
          <w:b w:val="0"/>
          <w:bCs w:val="0"/>
          <w:sz w:val="28"/>
          <w:szCs w:val="28"/>
        </w:rPr>
      </w:pPr>
      <w:r>
        <w:rPr>
          <w:rFonts w:asciiTheme="minorEastAsia" w:eastAsiaTheme="minorEastAsia" w:hAnsiTheme="minorEastAsia" w:cstheme="minorEastAsia" w:hint="eastAsia"/>
          <w:b w:val="0"/>
          <w:bCs w:val="0"/>
          <w:sz w:val="28"/>
          <w:szCs w:val="28"/>
        </w:rPr>
        <w:t>8.</w:t>
      </w:r>
      <w:r>
        <w:rPr>
          <w:rFonts w:asciiTheme="minorEastAsia" w:eastAsiaTheme="minorEastAsia" w:hAnsiTheme="minorEastAsia" w:cstheme="minorEastAsia" w:hint="eastAsia"/>
          <w:b w:val="0"/>
          <w:bCs w:val="0"/>
          <w:sz w:val="28"/>
          <w:szCs w:val="28"/>
        </w:rPr>
        <w:t>炉、窑、槽、罐类设备本体及附属设施未定期检查，出现严重焊缝开裂、腐蚀、破损、衬砖损坏、壳体发红及明显弯曲变形等未报修或报废，仍继续使用。</w:t>
      </w:r>
    </w:p>
    <w:p w:rsidR="00B31515" w:rsidRDefault="000C6CAF">
      <w:pPr>
        <w:pStyle w:val="2"/>
        <w:spacing w:before="0" w:after="0" w:line="360" w:lineRule="auto"/>
        <w:ind w:firstLineChars="200" w:firstLine="560"/>
        <w:rPr>
          <w:rFonts w:asciiTheme="minorEastAsia" w:eastAsiaTheme="minorEastAsia" w:hAnsiTheme="minorEastAsia" w:cstheme="minorEastAsia"/>
          <w:b w:val="0"/>
          <w:bCs w:val="0"/>
          <w:sz w:val="28"/>
          <w:szCs w:val="28"/>
        </w:rPr>
      </w:pPr>
      <w:r>
        <w:rPr>
          <w:rFonts w:asciiTheme="minorEastAsia" w:eastAsiaTheme="minorEastAsia" w:hAnsiTheme="minorEastAsia" w:cstheme="minorEastAsia" w:hint="eastAsia"/>
          <w:b w:val="0"/>
          <w:bCs w:val="0"/>
          <w:sz w:val="28"/>
          <w:szCs w:val="28"/>
        </w:rPr>
        <w:t>9.</w:t>
      </w:r>
      <w:r>
        <w:rPr>
          <w:rFonts w:asciiTheme="minorEastAsia" w:eastAsiaTheme="minorEastAsia" w:hAnsiTheme="minorEastAsia" w:cstheme="minorEastAsia" w:hint="eastAsia"/>
          <w:b w:val="0"/>
          <w:bCs w:val="0"/>
          <w:sz w:val="28"/>
          <w:szCs w:val="28"/>
        </w:rPr>
        <w:t>使用煤气（天然气）的烧嘴等燃烧装置，未设置防突然熄火或点火失败的快速切断阀，以切断煤气（天然气）。</w:t>
      </w:r>
    </w:p>
    <w:p w:rsidR="00B31515" w:rsidRDefault="000C6CAF">
      <w:pPr>
        <w:pStyle w:val="2"/>
        <w:spacing w:before="0" w:after="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val="0"/>
          <w:bCs w:val="0"/>
          <w:sz w:val="28"/>
          <w:szCs w:val="28"/>
        </w:rPr>
        <w:t>10.</w:t>
      </w:r>
      <w:r>
        <w:rPr>
          <w:rFonts w:asciiTheme="minorEastAsia" w:eastAsiaTheme="minorEastAsia" w:hAnsiTheme="minorEastAsia" w:cstheme="minorEastAsia" w:hint="eastAsia"/>
          <w:b w:val="0"/>
          <w:bCs w:val="0"/>
          <w:sz w:val="28"/>
          <w:szCs w:val="28"/>
        </w:rPr>
        <w:t>金属冶炼企业主要负责人和安全生产管理人员未依法经考核合格。</w:t>
      </w:r>
    </w:p>
    <w:p w:rsidR="00B31515" w:rsidRDefault="000C6CAF">
      <w:pPr>
        <w:pStyle w:val="2"/>
        <w:spacing w:before="0" w:after="0" w:line="360" w:lineRule="auto"/>
        <w:rPr>
          <w:rFonts w:asciiTheme="minorEastAsia" w:eastAsiaTheme="minorEastAsia" w:hAnsiTheme="minorEastAsia" w:cstheme="minorEastAsia"/>
          <w:sz w:val="28"/>
          <w:szCs w:val="28"/>
        </w:rPr>
      </w:pPr>
      <w:bookmarkStart w:id="17" w:name="_Toc24506"/>
      <w:bookmarkStart w:id="18" w:name="_Toc13660"/>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隐患分类</w:t>
      </w:r>
      <w:bookmarkEnd w:id="17"/>
      <w:bookmarkEnd w:id="18"/>
    </w:p>
    <w:p w:rsidR="00B31515" w:rsidRDefault="000C6CAF">
      <w:pPr>
        <w:spacing w:line="360" w:lineRule="auto"/>
        <w:ind w:firstLineChars="200" w:firstLine="560"/>
        <w:rPr>
          <w:rFonts w:asciiTheme="minorEastAsia" w:hAnsiTheme="minorEastAsia" w:cstheme="minorEastAsia"/>
          <w:sz w:val="28"/>
          <w:szCs w:val="28"/>
          <w:shd w:val="clear" w:color="auto" w:fill="FFFFFF"/>
        </w:rPr>
      </w:pPr>
      <w:bookmarkStart w:id="19" w:name="_GoBack"/>
      <w:bookmarkEnd w:id="19"/>
      <w:r>
        <w:rPr>
          <w:rFonts w:asciiTheme="minorEastAsia" w:hAnsiTheme="minorEastAsia" w:cstheme="minorEastAsia" w:hint="eastAsia"/>
          <w:sz w:val="28"/>
          <w:szCs w:val="28"/>
          <w:shd w:val="clear" w:color="auto" w:fill="FFFFFF"/>
        </w:rPr>
        <w:t>事故隐患分为基础管理类隐患和生产现场类隐患。</w:t>
      </w:r>
    </w:p>
    <w:p w:rsidR="00B31515" w:rsidRDefault="000C6CAF">
      <w:pPr>
        <w:pStyle w:val="38"/>
        <w:spacing w:before="0" w:beforeAutospacing="0" w:after="0" w:afterAutospacing="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.2.1</w:t>
      </w:r>
      <w:r>
        <w:rPr>
          <w:rFonts w:asciiTheme="minorEastAsia" w:eastAsiaTheme="minorEastAsia" w:hAnsiTheme="minorEastAsia" w:cstheme="minorEastAsia" w:hint="eastAsia"/>
          <w:sz w:val="28"/>
          <w:szCs w:val="28"/>
        </w:rPr>
        <w:t>生产现场类隐患包括以下方面存在的问题或缺陷：</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——设备设施；</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——场所环境；</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——从业人员操作行为；</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——消防及应急设施；</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——供配电设施；</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——职业卫生防护设施；</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——辅助动力系统；</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——现场其他方面。</w:t>
      </w:r>
    </w:p>
    <w:p w:rsidR="00B31515" w:rsidRDefault="000C6CAF">
      <w:pPr>
        <w:pStyle w:val="45"/>
        <w:spacing w:before="0" w:beforeAutospacing="0" w:after="0" w:afterAutospacing="0" w:line="360" w:lineRule="auto"/>
        <w:rPr>
          <w:rFonts w:asciiTheme="minorEastAsia" w:eastAsiaTheme="minorEastAsia" w:hAnsiTheme="minorEastAsia" w:cstheme="minorEastAsia"/>
          <w:sz w:val="28"/>
          <w:szCs w:val="28"/>
        </w:rPr>
      </w:pPr>
      <w:bookmarkStart w:id="20" w:name="_Toc466565072"/>
      <w:bookmarkEnd w:id="20"/>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基础管理类隐患包括以下方面存在的问题或缺陷：</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——生产经营单位资质证照；</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——安全生产管理机构及人员；</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——安全生产责任制；</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——安全生产管理制度；</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——教育培训；</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——安全生产管理档案；</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——安全生产投入；</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——应急管理；</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——职业卫生基础管理；</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——相关方安全管理；</w:t>
      </w:r>
    </w:p>
    <w:p w:rsidR="00B31515" w:rsidRDefault="000C6CAF">
      <w:pPr>
        <w:pStyle w:val="25"/>
        <w:spacing w:before="0" w:beforeAutospacing="0" w:after="0" w:afterAutospacing="0" w:line="360" w:lineRule="auto"/>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——基础管理其他方面。</w:t>
      </w:r>
    </w:p>
    <w:p w:rsidR="00B31515" w:rsidRDefault="000C6CAF">
      <w:pPr>
        <w:pStyle w:val="1"/>
        <w:spacing w:before="0" w:after="0" w:line="360" w:lineRule="auto"/>
        <w:rPr>
          <w:rFonts w:asciiTheme="minorEastAsia" w:eastAsiaTheme="minorEastAsia" w:hAnsiTheme="minorEastAsia" w:cstheme="minorEastAsia"/>
          <w:kern w:val="0"/>
          <w:sz w:val="28"/>
          <w:szCs w:val="28"/>
        </w:rPr>
      </w:pPr>
      <w:bookmarkStart w:id="21" w:name="_Toc13323"/>
      <w:bookmarkStart w:id="22" w:name="_Toc19703"/>
      <w:r>
        <w:rPr>
          <w:rFonts w:asciiTheme="minorEastAsia" w:eastAsiaTheme="minorEastAsia" w:hAnsiTheme="minorEastAsia" w:cstheme="minorEastAsia" w:hint="eastAsia"/>
          <w:kern w:val="0"/>
          <w:sz w:val="28"/>
          <w:szCs w:val="28"/>
        </w:rPr>
        <w:t>7</w:t>
      </w:r>
      <w:r>
        <w:rPr>
          <w:rFonts w:asciiTheme="minorEastAsia" w:eastAsiaTheme="minorEastAsia" w:hAnsiTheme="minorEastAsia" w:cstheme="minorEastAsia" w:hint="eastAsia"/>
          <w:kern w:val="0"/>
          <w:sz w:val="28"/>
          <w:szCs w:val="28"/>
        </w:rPr>
        <w:t>工作程序和内容</w:t>
      </w:r>
      <w:bookmarkEnd w:id="21"/>
      <w:bookmarkEnd w:id="22"/>
    </w:p>
    <w:p w:rsidR="00B31515" w:rsidRDefault="000C6CAF">
      <w:pPr>
        <w:pStyle w:val="2"/>
        <w:spacing w:before="0" w:after="0" w:line="360" w:lineRule="auto"/>
        <w:rPr>
          <w:rFonts w:asciiTheme="minorEastAsia" w:eastAsiaTheme="minorEastAsia" w:hAnsiTheme="minorEastAsia" w:cstheme="minorEastAsia"/>
          <w:sz w:val="28"/>
          <w:szCs w:val="28"/>
        </w:rPr>
      </w:pPr>
      <w:bookmarkStart w:id="23" w:name="_Toc22932"/>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编制排查项目清单</w:t>
      </w:r>
      <w:bookmarkEnd w:id="23"/>
    </w:p>
    <w:p w:rsidR="00B31515" w:rsidRDefault="000C6CAF">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7.1.1</w:t>
      </w:r>
      <w:r>
        <w:rPr>
          <w:rFonts w:asciiTheme="minorEastAsia" w:hAnsiTheme="minorEastAsia" w:cstheme="minorEastAsia" w:hint="eastAsia"/>
          <w:sz w:val="28"/>
          <w:szCs w:val="28"/>
        </w:rPr>
        <w:t>基本要求</w:t>
      </w:r>
    </w:p>
    <w:p w:rsidR="00B31515" w:rsidRDefault="000C6CAF">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公司依据确定的各类风险点的全部控制措施和基础安全管理要求，编制排查项目清单。隐患排查项目清单包括生产现场类隐患排查清单和基础管理类隐患排查清单。</w:t>
      </w:r>
    </w:p>
    <w:p w:rsidR="00B31515" w:rsidRDefault="000C6CAF">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lastRenderedPageBreak/>
        <w:t>7.1.2</w:t>
      </w:r>
      <w:r>
        <w:rPr>
          <w:rFonts w:asciiTheme="minorEastAsia" w:hAnsiTheme="minorEastAsia" w:cstheme="minorEastAsia" w:hint="eastAsia"/>
          <w:sz w:val="28"/>
          <w:szCs w:val="28"/>
        </w:rPr>
        <w:t>生产现场类隐患排查项目清单</w:t>
      </w:r>
    </w:p>
    <w:p w:rsidR="00B31515" w:rsidRDefault="000C6CAF">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以各类风险点为基本单元，依据风险分级管控体系中各风险点的控制措施和标准、规程要求编制，至少包括：排查范围（风险点）、排查内容与排查标准、排查类型、排查周期、组织级别等信息，见附录</w:t>
      </w:r>
      <w:r>
        <w:rPr>
          <w:rFonts w:asciiTheme="minorEastAsia" w:hAnsiTheme="minorEastAsia" w:cstheme="minorEastAsia" w:hint="eastAsia"/>
          <w:sz w:val="28"/>
          <w:szCs w:val="28"/>
        </w:rPr>
        <w:t>1</w:t>
      </w:r>
      <w:r>
        <w:rPr>
          <w:rFonts w:asciiTheme="minorEastAsia" w:hAnsiTheme="minorEastAsia" w:cstheme="minorEastAsia" w:hint="eastAsia"/>
          <w:sz w:val="28"/>
          <w:szCs w:val="28"/>
        </w:rPr>
        <w:t>。</w:t>
      </w:r>
    </w:p>
    <w:p w:rsidR="00B31515" w:rsidRDefault="000C6CAF">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7.1.3</w:t>
      </w:r>
      <w:r>
        <w:rPr>
          <w:rFonts w:asciiTheme="minorEastAsia" w:hAnsiTheme="minorEastAsia" w:cstheme="minorEastAsia" w:hint="eastAsia"/>
          <w:sz w:val="28"/>
          <w:szCs w:val="28"/>
        </w:rPr>
        <w:t>基础管理类隐患排查项目清单</w:t>
      </w:r>
    </w:p>
    <w:p w:rsidR="00B31515" w:rsidRDefault="000C6CAF">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以各类基础管理项目为基本单元，依据有关法律、法规、技术标准、规程要求编制，至少包括：排查项目、排查内容与排</w:t>
      </w:r>
      <w:r>
        <w:rPr>
          <w:rFonts w:asciiTheme="minorEastAsia" w:hAnsiTheme="minorEastAsia" w:cstheme="minorEastAsia" w:hint="eastAsia"/>
          <w:sz w:val="28"/>
          <w:szCs w:val="28"/>
        </w:rPr>
        <w:t>查标准、排查类型、排查周期、组织级别等信息，见附录</w:t>
      </w:r>
      <w:r>
        <w:rPr>
          <w:rFonts w:asciiTheme="minorEastAsia" w:hAnsiTheme="minorEastAsia" w:cstheme="minorEastAsia" w:hint="eastAsia"/>
          <w:sz w:val="28"/>
          <w:szCs w:val="28"/>
        </w:rPr>
        <w:t>2</w:t>
      </w:r>
      <w:r>
        <w:rPr>
          <w:rFonts w:asciiTheme="minorEastAsia" w:hAnsiTheme="minorEastAsia" w:cstheme="minorEastAsia" w:hint="eastAsia"/>
          <w:sz w:val="28"/>
          <w:szCs w:val="28"/>
        </w:rPr>
        <w:t>。</w:t>
      </w:r>
    </w:p>
    <w:p w:rsidR="00B31515" w:rsidRDefault="000C6CAF">
      <w:pPr>
        <w:pStyle w:val="a"/>
        <w:numPr>
          <w:ilvl w:val="0"/>
          <w:numId w:val="0"/>
        </w:numPr>
        <w:spacing w:before="120" w:after="120" w:line="360" w:lineRule="auto"/>
        <w:rPr>
          <w:rFonts w:asciiTheme="minorEastAsia" w:eastAsiaTheme="minorEastAsia" w:hAnsiTheme="minorEastAsia" w:cstheme="minorEastAsia"/>
          <w:b/>
          <w:sz w:val="28"/>
          <w:szCs w:val="28"/>
        </w:rPr>
      </w:pPr>
      <w:bookmarkStart w:id="24" w:name="_Toc479927958"/>
      <w:bookmarkStart w:id="25" w:name="_Toc10920"/>
      <w:bookmarkStart w:id="26" w:name="_Toc479928502"/>
      <w:bookmarkStart w:id="27" w:name="_Toc479928012"/>
      <w:bookmarkStart w:id="28" w:name="_Toc2415"/>
      <w:r>
        <w:rPr>
          <w:rFonts w:asciiTheme="minorEastAsia" w:eastAsiaTheme="minorEastAsia" w:hAnsiTheme="minorEastAsia" w:cstheme="minorEastAsia" w:hint="eastAsia"/>
          <w:b/>
          <w:sz w:val="28"/>
          <w:szCs w:val="28"/>
        </w:rPr>
        <w:t>7</w:t>
      </w:r>
      <w:r>
        <w:rPr>
          <w:rFonts w:asciiTheme="minorEastAsia" w:eastAsiaTheme="minorEastAsia" w:hAnsiTheme="minorEastAsia" w:cstheme="minorEastAsia" w:hint="eastAsia"/>
          <w:b/>
          <w:sz w:val="28"/>
          <w:szCs w:val="28"/>
        </w:rPr>
        <w:t>.2</w:t>
      </w:r>
      <w:r>
        <w:rPr>
          <w:rFonts w:asciiTheme="minorEastAsia" w:eastAsiaTheme="minorEastAsia" w:hAnsiTheme="minorEastAsia" w:cstheme="minorEastAsia" w:hint="eastAsia"/>
          <w:b/>
          <w:sz w:val="28"/>
          <w:szCs w:val="28"/>
        </w:rPr>
        <w:t>制定排查计划</w:t>
      </w:r>
      <w:bookmarkEnd w:id="24"/>
      <w:bookmarkEnd w:id="25"/>
      <w:bookmarkEnd w:id="26"/>
      <w:bookmarkEnd w:id="27"/>
      <w:bookmarkEnd w:id="28"/>
    </w:p>
    <w:p w:rsidR="00B31515" w:rsidRDefault="000C6CAF">
      <w:pPr>
        <w:pStyle w:val="ab"/>
        <w:spacing w:line="360" w:lineRule="auto"/>
        <w:ind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公司根据生产运行特点，制定隐患排查计划，明确各类型隐患排查的排查时间、排查目的、排查要求、排查范围、组织级别及排查人员等。</w:t>
      </w:r>
    </w:p>
    <w:p w:rsidR="00B31515" w:rsidRDefault="000C6CAF">
      <w:pPr>
        <w:pStyle w:val="a"/>
        <w:numPr>
          <w:ilvl w:val="0"/>
          <w:numId w:val="0"/>
        </w:numPr>
        <w:spacing w:before="120" w:after="120" w:line="360" w:lineRule="auto"/>
        <w:rPr>
          <w:rFonts w:asciiTheme="minorEastAsia" w:eastAsiaTheme="minorEastAsia" w:hAnsiTheme="minorEastAsia" w:cstheme="minorEastAsia"/>
          <w:b/>
          <w:sz w:val="28"/>
          <w:szCs w:val="28"/>
        </w:rPr>
      </w:pPr>
      <w:bookmarkStart w:id="29" w:name="_Toc16571"/>
      <w:bookmarkStart w:id="30" w:name="_Toc479928503"/>
      <w:bookmarkStart w:id="31" w:name="_Toc479928013"/>
      <w:bookmarkStart w:id="32" w:name="_Toc18563"/>
      <w:bookmarkStart w:id="33" w:name="_Toc479927959"/>
      <w:r>
        <w:rPr>
          <w:rFonts w:asciiTheme="minorEastAsia" w:eastAsiaTheme="minorEastAsia" w:hAnsiTheme="minorEastAsia" w:cstheme="minorEastAsia" w:hint="eastAsia"/>
          <w:b/>
          <w:sz w:val="28"/>
          <w:szCs w:val="28"/>
        </w:rPr>
        <w:t>7</w:t>
      </w:r>
      <w:r>
        <w:rPr>
          <w:rFonts w:asciiTheme="minorEastAsia" w:eastAsiaTheme="minorEastAsia" w:hAnsiTheme="minorEastAsia" w:cstheme="minorEastAsia" w:hint="eastAsia"/>
          <w:b/>
          <w:sz w:val="28"/>
          <w:szCs w:val="28"/>
        </w:rPr>
        <w:t>.3</w:t>
      </w:r>
      <w:r>
        <w:rPr>
          <w:rFonts w:asciiTheme="minorEastAsia" w:eastAsiaTheme="minorEastAsia" w:hAnsiTheme="minorEastAsia" w:cstheme="minorEastAsia" w:hint="eastAsia"/>
          <w:b/>
          <w:sz w:val="28"/>
          <w:szCs w:val="28"/>
        </w:rPr>
        <w:t>隐患排查</w:t>
      </w:r>
      <w:bookmarkEnd w:id="29"/>
      <w:bookmarkEnd w:id="30"/>
      <w:bookmarkEnd w:id="31"/>
      <w:bookmarkEnd w:id="32"/>
      <w:bookmarkEnd w:id="33"/>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7.3.1</w:t>
      </w:r>
      <w:r>
        <w:rPr>
          <w:rFonts w:asciiTheme="minorEastAsia" w:hAnsiTheme="minorEastAsia" w:cstheme="minorEastAsia" w:hint="eastAsia"/>
          <w:kern w:val="0"/>
          <w:sz w:val="28"/>
          <w:szCs w:val="28"/>
        </w:rPr>
        <w:t>排查类型</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排查类型主要包括：</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1</w:t>
      </w:r>
      <w:r>
        <w:rPr>
          <w:rFonts w:asciiTheme="minorEastAsia" w:hAnsiTheme="minorEastAsia" w:cstheme="minorEastAsia" w:hint="eastAsia"/>
          <w:kern w:val="0"/>
          <w:sz w:val="28"/>
          <w:szCs w:val="28"/>
        </w:rPr>
        <w:t>、综合性隐患排查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是指以保障安全生产为目的，以安全责任制、各项专业管理制度和安全生产管理制度落实情况为重点，各有关专业和部门共同参与的全面排查。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2</w:t>
      </w:r>
      <w:r>
        <w:rPr>
          <w:rFonts w:asciiTheme="minorEastAsia" w:hAnsiTheme="minorEastAsia" w:cstheme="minorEastAsia" w:hint="eastAsia"/>
          <w:kern w:val="0"/>
          <w:sz w:val="28"/>
          <w:szCs w:val="28"/>
        </w:rPr>
        <w:t>、专业或装箱隐患排查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主要是指（</w:t>
      </w:r>
      <w:r>
        <w:rPr>
          <w:rFonts w:asciiTheme="minorEastAsia" w:hAnsiTheme="minorEastAsia" w:cstheme="minorEastAsia" w:hint="eastAsia"/>
          <w:kern w:val="0"/>
          <w:sz w:val="28"/>
          <w:szCs w:val="28"/>
        </w:rPr>
        <w:t>1</w:t>
      </w:r>
      <w:r>
        <w:rPr>
          <w:rFonts w:asciiTheme="minorEastAsia" w:hAnsiTheme="minorEastAsia" w:cstheme="minorEastAsia" w:hint="eastAsia"/>
          <w:kern w:val="0"/>
          <w:sz w:val="28"/>
          <w:szCs w:val="28"/>
        </w:rPr>
        <w:t>）对工艺、设备、电气、自控仪表、建筑结构、消防与公辅等分别进行的专业排查</w:t>
      </w:r>
      <w:r>
        <w:rPr>
          <w:rFonts w:asciiTheme="minorEastAsia" w:hAnsiTheme="minorEastAsia" w:cstheme="minorEastAsia" w:hint="eastAsia"/>
          <w:kern w:val="0"/>
          <w:sz w:val="28"/>
          <w:szCs w:val="28"/>
        </w:rPr>
        <w:t>；（</w:t>
      </w:r>
      <w:r>
        <w:rPr>
          <w:rFonts w:asciiTheme="minorEastAsia" w:hAnsiTheme="minorEastAsia" w:cstheme="minorEastAsia" w:hint="eastAsia"/>
          <w:kern w:val="0"/>
          <w:sz w:val="28"/>
          <w:szCs w:val="28"/>
        </w:rPr>
        <w:t>2</w:t>
      </w:r>
      <w:r>
        <w:rPr>
          <w:rFonts w:asciiTheme="minorEastAsia" w:hAnsiTheme="minorEastAsia" w:cstheme="minorEastAsia" w:hint="eastAsia"/>
          <w:kern w:val="0"/>
          <w:sz w:val="28"/>
          <w:szCs w:val="28"/>
        </w:rPr>
        <w:t>）根据行业特点对涉氨制冷、有限空间作业、粉尘防爆、冶金行业高温熔融金属吊运作业、煤气作业等所涉及的场所、环境、人员、设备设施和所有作业及管理活动进行的专项隐患排查；（</w:t>
      </w:r>
      <w:r>
        <w:rPr>
          <w:rFonts w:asciiTheme="minorEastAsia" w:hAnsiTheme="minorEastAsia" w:cstheme="minorEastAsia" w:hint="eastAsia"/>
          <w:kern w:val="0"/>
          <w:sz w:val="28"/>
          <w:szCs w:val="28"/>
        </w:rPr>
        <w:t>3</w:t>
      </w:r>
      <w:r>
        <w:rPr>
          <w:rFonts w:asciiTheme="minorEastAsia" w:hAnsiTheme="minorEastAsia" w:cstheme="minorEastAsia" w:hint="eastAsia"/>
          <w:kern w:val="0"/>
          <w:sz w:val="28"/>
          <w:szCs w:val="28"/>
        </w:rPr>
        <w:t>）在连续运行装置开停车前、新装置竣工及试运行等时期进行的专项隐患排查。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lastRenderedPageBreak/>
        <w:t>3</w:t>
      </w:r>
      <w:r>
        <w:rPr>
          <w:rFonts w:asciiTheme="minorEastAsia" w:hAnsiTheme="minorEastAsia" w:cstheme="minorEastAsia" w:hint="eastAsia"/>
          <w:kern w:val="0"/>
          <w:sz w:val="28"/>
          <w:szCs w:val="28"/>
        </w:rPr>
        <w:t>、季节性排查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是指根据各季节特点开展的专项隐患检查，主要包括：</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春季以防雷、防静电、防解冻泄漏、防解冻坍塌为重点；</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夏季以防雷暴、防设备容器高温超压、防台风、防洪、防暑降温为重点；</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秋季以防雷暴、防火、防静电、防凝保温为重点；</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冬季以防火、防爆、防雪、防冻防凝、防滑、防静电为重点。</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4</w:t>
      </w:r>
      <w:r>
        <w:rPr>
          <w:rFonts w:asciiTheme="minorEastAsia" w:hAnsiTheme="minorEastAsia" w:cstheme="minorEastAsia" w:hint="eastAsia"/>
          <w:kern w:val="0"/>
          <w:sz w:val="28"/>
          <w:szCs w:val="28"/>
        </w:rPr>
        <w:t>、日常隐患排查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是指班组、岗位员工的交接班检查和</w:t>
      </w:r>
      <w:r>
        <w:rPr>
          <w:rFonts w:asciiTheme="minorEastAsia" w:hAnsiTheme="minorEastAsia" w:cstheme="minorEastAsia" w:hint="eastAsia"/>
          <w:kern w:val="0"/>
          <w:sz w:val="28"/>
          <w:szCs w:val="28"/>
        </w:rPr>
        <w:t>每天日常</w:t>
      </w:r>
      <w:r>
        <w:rPr>
          <w:rFonts w:asciiTheme="minorEastAsia" w:hAnsiTheme="minorEastAsia" w:cstheme="minorEastAsia" w:hint="eastAsia"/>
          <w:kern w:val="0"/>
          <w:sz w:val="28"/>
          <w:szCs w:val="28"/>
        </w:rPr>
        <w:t>检查，以及基层单位领导和工艺、设备、电气、仪表、安全等专业技术人员的日常性检查。日常隐患排查要加强对关键装置、重点部位、关键环节的检查和巡查。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5</w:t>
      </w:r>
      <w:r>
        <w:rPr>
          <w:rFonts w:asciiTheme="minorEastAsia" w:hAnsiTheme="minorEastAsia" w:cstheme="minorEastAsia" w:hint="eastAsia"/>
          <w:kern w:val="0"/>
          <w:sz w:val="28"/>
          <w:szCs w:val="28"/>
        </w:rPr>
        <w:t>、节假日隐患排查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主要是指在重大活动和节假日前，对装置生产是否存在异常状况和隐患、备用设备状态、备品备件、生产及应急物资储备、企业保卫、应急工作等进行的检查，特别是要对节日期间干部带班值班、机电仪保运及紧急抢修力量安排、备件及各类物资储备和应急工作进行</w:t>
      </w:r>
      <w:r>
        <w:rPr>
          <w:rFonts w:asciiTheme="minorEastAsia" w:hAnsiTheme="minorEastAsia" w:cstheme="minorEastAsia" w:hint="eastAsia"/>
          <w:kern w:val="0"/>
          <w:sz w:val="28"/>
          <w:szCs w:val="28"/>
        </w:rPr>
        <w:t>重点检查。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6</w:t>
      </w:r>
      <w:r>
        <w:rPr>
          <w:rFonts w:asciiTheme="minorEastAsia" w:hAnsiTheme="minorEastAsia" w:cstheme="minorEastAsia" w:hint="eastAsia"/>
          <w:kern w:val="0"/>
          <w:sz w:val="28"/>
          <w:szCs w:val="28"/>
        </w:rPr>
        <w:t>、事故类比隐患排查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是对企业内或同类企业发生事故后的举一反三的安全检查。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7</w:t>
      </w:r>
      <w:r>
        <w:rPr>
          <w:rFonts w:asciiTheme="minorEastAsia" w:hAnsiTheme="minorEastAsia" w:cstheme="minorEastAsia" w:hint="eastAsia"/>
          <w:kern w:val="0"/>
          <w:sz w:val="28"/>
          <w:szCs w:val="28"/>
        </w:rPr>
        <w:t>、专家诊断性检查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是指技术力量不足或安全生产管理经验欠缺的企业委托安全生产专家排查隐患。</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7.3.2</w:t>
      </w:r>
      <w:r>
        <w:rPr>
          <w:rFonts w:asciiTheme="minorEastAsia" w:hAnsiTheme="minorEastAsia" w:cstheme="minorEastAsia" w:hint="eastAsia"/>
          <w:kern w:val="0"/>
          <w:sz w:val="28"/>
          <w:szCs w:val="28"/>
        </w:rPr>
        <w:t>排查要求</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要做到全面覆盖、责任到人，定期排查与日常排查相结合，专业排查与综合排查相结合，一般排查与重点排查相结合，隐患排查的结果与安全目标责任考核挂钩。</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7.3.3</w:t>
      </w:r>
      <w:r>
        <w:rPr>
          <w:rFonts w:asciiTheme="minorEastAsia" w:hAnsiTheme="minorEastAsia" w:cstheme="minorEastAsia" w:hint="eastAsia"/>
          <w:kern w:val="0"/>
          <w:sz w:val="28"/>
          <w:szCs w:val="28"/>
        </w:rPr>
        <w:t>组织级别</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lastRenderedPageBreak/>
        <w:t>公司根据排查类型结合自身组织架构确定不同的排查组织级别。排查组织级别一般包括公司级、车间级、班组级、岗位级。</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——日常隐患排查的组织级别为班组级、岗</w:t>
      </w:r>
      <w:r>
        <w:rPr>
          <w:rFonts w:asciiTheme="minorEastAsia" w:hAnsiTheme="minorEastAsia" w:cstheme="minorEastAsia" w:hint="eastAsia"/>
          <w:kern w:val="0"/>
          <w:sz w:val="28"/>
          <w:szCs w:val="28"/>
        </w:rPr>
        <w:t>位级；</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——综合性隐患排查的组织级别为公司级、车间级；</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——专业性隐患排查的组织级别为公司级，按照专业类别划分；</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——装置开、停车、涉氨、涉爆炸性粉尘、受限空间作业、煤气作业等专项排查的组织级别为公司级、车间级，按照类别划分；</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——新装置施工期间或竣工时及试运行等时期专项排查的组织级别为公司级、车间级，按照职责分工；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——季节性隐患排查的组织级别为公司级、车间级；</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——节假日隐患排查的组织级别为公司级、车间级。</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7.3.4</w:t>
      </w:r>
      <w:r>
        <w:rPr>
          <w:rFonts w:asciiTheme="minorEastAsia" w:hAnsiTheme="minorEastAsia" w:cstheme="minorEastAsia" w:hint="eastAsia"/>
          <w:kern w:val="0"/>
          <w:sz w:val="28"/>
          <w:szCs w:val="28"/>
        </w:rPr>
        <w:t>排查周期</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公司根据法律、法规要求，结合公司生产工艺特点，确定日常、综合、专业或专项、季</w:t>
      </w:r>
      <w:r>
        <w:rPr>
          <w:rFonts w:asciiTheme="minorEastAsia" w:hAnsiTheme="minorEastAsia" w:cstheme="minorEastAsia" w:hint="eastAsia"/>
          <w:kern w:val="0"/>
          <w:sz w:val="28"/>
          <w:szCs w:val="28"/>
        </w:rPr>
        <w:t>节、节假日等隐患排查类型的周期。具体包括：</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——日常隐患排查周期根据风险分级管控相关内容和公司实际情况确定；</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——综合性隐患排查应由公司级至少每季度组织一次，基层单位（车间）结合岗位责任制排查，至少每月组织一次；</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——专业或专项隐患排查应由工艺、设备、电气、仪表等专业技术人员或相关部门至少每半年组织一次；</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——季节性隐患排查应根据季节性特点及本单位的生产实际，至少每季度开展一次；</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——节假日隐患排查应与重大活动及节假日前进行一次隐患排查。</w:t>
      </w:r>
    </w:p>
    <w:p w:rsidR="00B31515" w:rsidRDefault="000C6CAF">
      <w:pPr>
        <w:spacing w:line="360" w:lineRule="auto"/>
        <w:rPr>
          <w:rFonts w:asciiTheme="minorEastAsia" w:hAnsiTheme="minorEastAsia" w:cstheme="minorEastAsia"/>
          <w:kern w:val="0"/>
          <w:sz w:val="28"/>
          <w:szCs w:val="28"/>
        </w:rPr>
      </w:pPr>
      <w:r>
        <w:rPr>
          <w:rFonts w:asciiTheme="minorEastAsia" w:hAnsiTheme="minorEastAsia" w:cstheme="minorEastAsia" w:hint="eastAsia"/>
          <w:kern w:val="0"/>
          <w:sz w:val="28"/>
          <w:szCs w:val="28"/>
        </w:rPr>
        <w:t>当发生以下情形之一，公司应及时组织进行相关专项隐患排查：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——颁布实施相关新的法律法规、标准规范或原有使用法律法规、标准规范重新修订的；</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lastRenderedPageBreak/>
        <w:t>——组织机构和人员发生重大调整的；</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——装置工艺、设备、电气、仪表、公用工程或操作参数发生重大改变的；</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——外部安全生产环境发生重大变化；</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——发生事故或对事故、时间有新的认识；</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——气候条件大的变化或预报可能发生重大自然灾害。</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7.3.5</w:t>
      </w:r>
      <w:r>
        <w:rPr>
          <w:rFonts w:asciiTheme="minorEastAsia" w:hAnsiTheme="minorEastAsia" w:cstheme="minorEastAsia" w:hint="eastAsia"/>
          <w:kern w:val="0"/>
          <w:sz w:val="28"/>
          <w:szCs w:val="28"/>
        </w:rPr>
        <w:t>确定排查项目</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实施隐患排查前，公司根据排查类型、组织级别及排查周期，在排查项目清单中确定具体排查项目，结合《工贸行业较大危险因素辨识与防范指导手册（</w:t>
      </w:r>
      <w:r>
        <w:rPr>
          <w:rFonts w:asciiTheme="minorEastAsia" w:hAnsiTheme="minorEastAsia" w:cstheme="minorEastAsia" w:hint="eastAsia"/>
          <w:kern w:val="0"/>
          <w:sz w:val="28"/>
          <w:szCs w:val="28"/>
        </w:rPr>
        <w:t>2016</w:t>
      </w:r>
      <w:r>
        <w:rPr>
          <w:rFonts w:asciiTheme="minorEastAsia" w:hAnsiTheme="minorEastAsia" w:cstheme="minorEastAsia" w:hint="eastAsia"/>
          <w:kern w:val="0"/>
          <w:sz w:val="28"/>
          <w:szCs w:val="28"/>
        </w:rPr>
        <w:t>版）》等相关法律法规、技术标准形成各</w:t>
      </w:r>
      <w:r>
        <w:rPr>
          <w:rFonts w:asciiTheme="minorEastAsia" w:hAnsiTheme="minorEastAsia" w:cstheme="minorEastAsia" w:hint="eastAsia"/>
          <w:kern w:val="0"/>
          <w:sz w:val="28"/>
          <w:szCs w:val="28"/>
        </w:rPr>
        <w:t>种排查类型的隐患排查表</w:t>
      </w:r>
      <w:r>
        <w:rPr>
          <w:rFonts w:asciiTheme="minorEastAsia" w:hAnsiTheme="minorEastAsia" w:cstheme="minorEastAsia" w:hint="eastAsia"/>
          <w:kern w:val="0"/>
          <w:sz w:val="28"/>
          <w:szCs w:val="28"/>
        </w:rPr>
        <w:t>,</w:t>
      </w:r>
      <w:r>
        <w:rPr>
          <w:rFonts w:asciiTheme="minorEastAsia" w:hAnsiTheme="minorEastAsia" w:cstheme="minorEastAsia" w:hint="eastAsia"/>
          <w:kern w:val="0"/>
          <w:sz w:val="28"/>
          <w:szCs w:val="28"/>
        </w:rPr>
        <w:t>由各组织级别按照排查计划定期进行隐患排查。</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7.3.6</w:t>
      </w:r>
      <w:r>
        <w:rPr>
          <w:rFonts w:asciiTheme="minorEastAsia" w:hAnsiTheme="minorEastAsia" w:cstheme="minorEastAsia" w:hint="eastAsia"/>
          <w:kern w:val="0"/>
          <w:sz w:val="28"/>
          <w:szCs w:val="28"/>
        </w:rPr>
        <w:t>排查结果记录</w:t>
      </w:r>
    </w:p>
    <w:p w:rsidR="00B31515" w:rsidRDefault="000C6CAF">
      <w:pPr>
        <w:spacing w:line="360" w:lineRule="auto"/>
        <w:ind w:firstLineChars="200" w:firstLine="560"/>
        <w:rPr>
          <w:rFonts w:asciiTheme="minorEastAsia" w:hAnsiTheme="minorEastAsia" w:cstheme="minorEastAsia"/>
          <w:kern w:val="0"/>
          <w:sz w:val="28"/>
          <w:szCs w:val="28"/>
        </w:rPr>
      </w:pPr>
      <w:r>
        <w:rPr>
          <w:rFonts w:asciiTheme="minorEastAsia" w:hAnsiTheme="minorEastAsia" w:cstheme="minorEastAsia" w:hint="eastAsia"/>
          <w:kern w:val="0"/>
          <w:sz w:val="28"/>
          <w:szCs w:val="28"/>
        </w:rPr>
        <w:t>各相关层级的部门和车间对照确定的隐患排查表进行隐患排查并记录，生产现场类隐患宜保留影像记录。</w:t>
      </w:r>
    </w:p>
    <w:p w:rsidR="00B31515" w:rsidRDefault="000C6CAF">
      <w:pPr>
        <w:pStyle w:val="a"/>
        <w:numPr>
          <w:ilvl w:val="0"/>
          <w:numId w:val="0"/>
        </w:numPr>
        <w:spacing w:before="120" w:after="120" w:line="360" w:lineRule="auto"/>
        <w:rPr>
          <w:rFonts w:asciiTheme="minorEastAsia" w:eastAsiaTheme="minorEastAsia" w:hAnsiTheme="minorEastAsia" w:cstheme="minorEastAsia"/>
          <w:b/>
          <w:sz w:val="28"/>
          <w:szCs w:val="28"/>
        </w:rPr>
      </w:pPr>
      <w:bookmarkStart w:id="34" w:name="_Toc7378"/>
      <w:bookmarkStart w:id="35" w:name="_Toc479928504"/>
      <w:bookmarkStart w:id="36" w:name="_Toc479927960"/>
      <w:bookmarkStart w:id="37" w:name="_Toc11889"/>
      <w:bookmarkStart w:id="38" w:name="_Toc479928014"/>
      <w:r>
        <w:rPr>
          <w:rFonts w:asciiTheme="minorEastAsia" w:eastAsiaTheme="minorEastAsia" w:hAnsiTheme="minorEastAsia" w:cstheme="minorEastAsia" w:hint="eastAsia"/>
          <w:b/>
          <w:sz w:val="28"/>
          <w:szCs w:val="28"/>
        </w:rPr>
        <w:t>7</w:t>
      </w:r>
      <w:r>
        <w:rPr>
          <w:rFonts w:asciiTheme="minorEastAsia" w:eastAsiaTheme="minorEastAsia" w:hAnsiTheme="minorEastAsia" w:cstheme="minorEastAsia" w:hint="eastAsia"/>
          <w:b/>
          <w:sz w:val="28"/>
          <w:szCs w:val="28"/>
        </w:rPr>
        <w:t>.4</w:t>
      </w:r>
      <w:r>
        <w:rPr>
          <w:rFonts w:asciiTheme="minorEastAsia" w:eastAsiaTheme="minorEastAsia" w:hAnsiTheme="minorEastAsia" w:cstheme="minorEastAsia" w:hint="eastAsia"/>
          <w:b/>
          <w:sz w:val="28"/>
          <w:szCs w:val="28"/>
        </w:rPr>
        <w:t>隐患治理</w:t>
      </w:r>
      <w:bookmarkEnd w:id="34"/>
      <w:bookmarkEnd w:id="35"/>
      <w:bookmarkEnd w:id="36"/>
      <w:bookmarkEnd w:id="37"/>
      <w:bookmarkEnd w:id="38"/>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.4.1</w:t>
      </w:r>
      <w:r>
        <w:rPr>
          <w:rFonts w:asciiTheme="minorEastAsia" w:eastAsiaTheme="minorEastAsia" w:hAnsiTheme="minorEastAsia" w:cstheme="minorEastAsia" w:hint="eastAsia"/>
          <w:sz w:val="28"/>
          <w:szCs w:val="28"/>
        </w:rPr>
        <w:t>隐患治理要求</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隐患治理实行分级治理、分类实施的原则。主要包括岗位纠正、班组治理、车间治理、部门治理、</w:t>
      </w:r>
      <w:hyperlink r:id="rId8" w:tgtFrame="_blank" w:history="1">
        <w:r>
          <w:rPr>
            <w:rFonts w:asciiTheme="minorEastAsia" w:eastAsiaTheme="minorEastAsia" w:hAnsiTheme="minorEastAsia" w:cstheme="minorEastAsia" w:hint="eastAsia"/>
            <w:sz w:val="28"/>
            <w:szCs w:val="28"/>
          </w:rPr>
          <w:t>公司</w:t>
        </w:r>
      </w:hyperlink>
      <w:r>
        <w:rPr>
          <w:rFonts w:asciiTheme="minorEastAsia" w:eastAsiaTheme="minorEastAsia" w:hAnsiTheme="minorEastAsia" w:cstheme="minorEastAsia" w:hint="eastAsia"/>
          <w:sz w:val="28"/>
          <w:szCs w:val="28"/>
        </w:rPr>
        <w:t>治理等。隐患治理应做到方法科学、资金到位、治理及时有效、责任到人、按时完成。能立即整改的隐患必须立即整改，无法立即整改的隐患，治理前要研究制定防范措施，落实监控责任，防止隐患发展为事故。</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.4.2</w:t>
      </w:r>
      <w:r>
        <w:rPr>
          <w:rFonts w:asciiTheme="minorEastAsia" w:eastAsiaTheme="minorEastAsia" w:hAnsiTheme="minorEastAsia" w:cstheme="minorEastAsia" w:hint="eastAsia"/>
          <w:sz w:val="28"/>
          <w:szCs w:val="28"/>
        </w:rPr>
        <w:t>隐患治理流程</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隐患治理流程包括：</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a)</w:t>
      </w:r>
      <w:r>
        <w:rPr>
          <w:rFonts w:asciiTheme="minorEastAsia" w:eastAsiaTheme="minorEastAsia" w:hAnsiTheme="minorEastAsia" w:cstheme="minorEastAsia" w:hint="eastAsia"/>
          <w:sz w:val="28"/>
          <w:szCs w:val="28"/>
        </w:rPr>
        <w:t>通报隐患信息。隐患排查结束后，将隐患名称、存在位置、不符合状况、隐患等级、治理期限及治理建议等信息向从业人员进行通报，通报方式根据公司实际情况确定；</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b)</w:t>
      </w:r>
      <w:r>
        <w:rPr>
          <w:rFonts w:asciiTheme="minorEastAsia" w:eastAsiaTheme="minorEastAsia" w:hAnsiTheme="minorEastAsia" w:cstheme="minorEastAsia" w:hint="eastAsia"/>
          <w:sz w:val="28"/>
          <w:szCs w:val="28"/>
        </w:rPr>
        <w:t>下发隐患整改通知。对于当场不能立即整改的，由隐患排查组织部门下达隐患整改通知，按照管控层级下发至隐患所在位置责任部门或者责</w:t>
      </w:r>
      <w:r>
        <w:rPr>
          <w:rFonts w:asciiTheme="minorEastAsia" w:eastAsiaTheme="minorEastAsia" w:hAnsiTheme="minorEastAsia" w:cstheme="minorEastAsia" w:hint="eastAsia"/>
          <w:sz w:val="28"/>
          <w:szCs w:val="28"/>
        </w:rPr>
        <w:t>任人员进行整改。对于日常排查出的隐患，班组及岗位应立即整改，不能立即整改或者超出整改能力范围的按照程序上报，由上级责任部门下发隐患整改通知。隐患整改通知内容应包含隐患描述、隐患等级、建议整改措施、治理责任单位和主要责任人、治理期限等内容；</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c)</w:t>
      </w:r>
      <w:r>
        <w:rPr>
          <w:rFonts w:asciiTheme="minorEastAsia" w:eastAsiaTheme="minorEastAsia" w:hAnsiTheme="minorEastAsia" w:cstheme="minorEastAsia" w:hint="eastAsia"/>
          <w:sz w:val="28"/>
          <w:szCs w:val="28"/>
        </w:rPr>
        <w:t>实施隐患治理。隐患存在单位在实施隐患治理前应当对隐患存在的原因进行分析，参考治理建议制定可靠的治理措施和应急处置或预案，估算整改资金并按规定时限落实整改；</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d)</w:t>
      </w:r>
      <w:r>
        <w:rPr>
          <w:rFonts w:asciiTheme="minorEastAsia" w:eastAsiaTheme="minorEastAsia" w:hAnsiTheme="minorEastAsia" w:cstheme="minorEastAsia" w:hint="eastAsia"/>
          <w:sz w:val="28"/>
          <w:szCs w:val="28"/>
        </w:rPr>
        <w:t>治理情况反馈。隐患存在单位在规定的期限内将治理完成情况反馈至隐患整改通知下发部门验收，未能及时整改完成的应说</w:t>
      </w:r>
      <w:r>
        <w:rPr>
          <w:rFonts w:asciiTheme="minorEastAsia" w:eastAsiaTheme="minorEastAsia" w:hAnsiTheme="minorEastAsia" w:cstheme="minorEastAsia" w:hint="eastAsia"/>
          <w:sz w:val="28"/>
          <w:szCs w:val="28"/>
        </w:rPr>
        <w:t>明原因与整改通知制发部门协同解决；</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e)</w:t>
      </w:r>
      <w:r>
        <w:rPr>
          <w:rFonts w:asciiTheme="minorEastAsia" w:eastAsiaTheme="minorEastAsia" w:hAnsiTheme="minorEastAsia" w:cstheme="minorEastAsia" w:hint="eastAsia"/>
          <w:sz w:val="28"/>
          <w:szCs w:val="28"/>
        </w:rPr>
        <w:t>验收。按照“谁排查谁验收“的原则，隐患排查组织部门对隐患整改效果组织验收并出具验收意见。</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.4.3</w:t>
      </w:r>
      <w:r>
        <w:rPr>
          <w:rFonts w:asciiTheme="minorEastAsia" w:eastAsiaTheme="minorEastAsia" w:hAnsiTheme="minorEastAsia" w:cstheme="minorEastAsia" w:hint="eastAsia"/>
          <w:sz w:val="28"/>
          <w:szCs w:val="28"/>
        </w:rPr>
        <w:t>一般隐患治理</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由公司各级（公司、车间、班组、岗位等）负责人或者有关人员负责组织整改。能够立即整改的隐患应立即组织整改，整改情况要安排专人进行确认；难以立即排除的应及时进行分析，制定整改措施并限期整改。</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.4.4</w:t>
      </w:r>
      <w:r>
        <w:rPr>
          <w:rFonts w:asciiTheme="minorEastAsia" w:eastAsiaTheme="minorEastAsia" w:hAnsiTheme="minorEastAsia" w:cstheme="minorEastAsia" w:hint="eastAsia"/>
          <w:sz w:val="28"/>
          <w:szCs w:val="28"/>
        </w:rPr>
        <w:t>重大隐患治理</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.4.4.1</w:t>
      </w:r>
      <w:r>
        <w:rPr>
          <w:rFonts w:asciiTheme="minorEastAsia" w:eastAsiaTheme="minorEastAsia" w:hAnsiTheme="minorEastAsia" w:cstheme="minorEastAsia" w:hint="eastAsia"/>
          <w:sz w:val="28"/>
          <w:szCs w:val="28"/>
        </w:rPr>
        <w:t>隐患评估</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经判定属于重大事故隐患的，公司应及时组织评估，并编制事故隐患评估报告书。评估报告书应包括隐患的类别、影响范围和风险程度以及对事故隐患的监控措施、治理方式、治理期限的建议等内容。</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7</w:t>
      </w:r>
      <w:r>
        <w:rPr>
          <w:rFonts w:asciiTheme="minorEastAsia" w:eastAsiaTheme="minorEastAsia" w:hAnsiTheme="minorEastAsia" w:cstheme="minorEastAsia" w:hint="eastAsia"/>
          <w:sz w:val="28"/>
          <w:szCs w:val="28"/>
        </w:rPr>
        <w:t>.4.4.2</w:t>
      </w:r>
      <w:r>
        <w:rPr>
          <w:rFonts w:asciiTheme="minorEastAsia" w:eastAsiaTheme="minorEastAsia" w:hAnsiTheme="minorEastAsia" w:cstheme="minorEastAsia" w:hint="eastAsia"/>
          <w:sz w:val="28"/>
          <w:szCs w:val="28"/>
        </w:rPr>
        <w:t>治理方案</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公司根据评估报告书制定重大事故隐患治理方案</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并将治理方案报告给当地县人民政府负有安全生产监督管理职责的部门。治理方案包括下列主要内容：</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a)</w:t>
      </w:r>
      <w:r>
        <w:rPr>
          <w:rFonts w:asciiTheme="minorEastAsia" w:eastAsiaTheme="minorEastAsia" w:hAnsiTheme="minorEastAsia" w:cstheme="minorEastAsia" w:hint="eastAsia"/>
          <w:sz w:val="28"/>
          <w:szCs w:val="28"/>
        </w:rPr>
        <w:t>治理的目标和任务；</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b)</w:t>
      </w:r>
      <w:r>
        <w:rPr>
          <w:rFonts w:asciiTheme="minorEastAsia" w:eastAsiaTheme="minorEastAsia" w:hAnsiTheme="minorEastAsia" w:cstheme="minorEastAsia" w:hint="eastAsia"/>
          <w:sz w:val="28"/>
          <w:szCs w:val="28"/>
        </w:rPr>
        <w:t>采取的方法和措施；</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c)</w:t>
      </w:r>
      <w:r>
        <w:rPr>
          <w:rFonts w:asciiTheme="minorEastAsia" w:eastAsiaTheme="minorEastAsia" w:hAnsiTheme="minorEastAsia" w:cstheme="minorEastAsia" w:hint="eastAsia"/>
          <w:sz w:val="28"/>
          <w:szCs w:val="28"/>
        </w:rPr>
        <w:t>经费和物资的落实；</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d)</w:t>
      </w:r>
      <w:r>
        <w:rPr>
          <w:rFonts w:asciiTheme="minorEastAsia" w:eastAsiaTheme="minorEastAsia" w:hAnsiTheme="minorEastAsia" w:cstheme="minorEastAsia" w:hint="eastAsia"/>
          <w:sz w:val="28"/>
          <w:szCs w:val="28"/>
        </w:rPr>
        <w:t>负责治理的机构和人员；</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e)</w:t>
      </w:r>
      <w:r>
        <w:rPr>
          <w:rFonts w:asciiTheme="minorEastAsia" w:eastAsiaTheme="minorEastAsia" w:hAnsiTheme="minorEastAsia" w:cstheme="minorEastAsia" w:hint="eastAsia"/>
          <w:sz w:val="28"/>
          <w:szCs w:val="28"/>
        </w:rPr>
        <w:t>治理的时限和要求；</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f)</w:t>
      </w:r>
      <w:r>
        <w:rPr>
          <w:rFonts w:asciiTheme="minorEastAsia" w:eastAsiaTheme="minorEastAsia" w:hAnsiTheme="minorEastAsia" w:cstheme="minorEastAsia" w:hint="eastAsia"/>
          <w:sz w:val="28"/>
          <w:szCs w:val="28"/>
        </w:rPr>
        <w:t>防止整改期间发生事故的安全措施。</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.4.4.</w:t>
      </w: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治理实施</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公司按照隐患整改通知和治理方案对重大事故隐患进行治理，治理资金从安全费用支出，治理时</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应当采取严密的防范、监控措施</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防止事故发生。重大事故隐患治理前或者治理过程中</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无法保证生产安全的</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公司应暂时停产、停业或者停止使用。</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.4.5</w:t>
      </w:r>
      <w:r>
        <w:rPr>
          <w:rFonts w:asciiTheme="minorEastAsia" w:eastAsiaTheme="minorEastAsia" w:hAnsiTheme="minorEastAsia" w:cstheme="minorEastAsia" w:hint="eastAsia"/>
          <w:sz w:val="28"/>
          <w:szCs w:val="28"/>
        </w:rPr>
        <w:t>隐患治理验收</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 xml:space="preserve">.4.5.1 </w:t>
      </w:r>
      <w:r>
        <w:rPr>
          <w:rFonts w:asciiTheme="minorEastAsia" w:eastAsiaTheme="minorEastAsia" w:hAnsiTheme="minorEastAsia" w:cstheme="minorEastAsia" w:hint="eastAsia"/>
          <w:sz w:val="28"/>
          <w:szCs w:val="28"/>
        </w:rPr>
        <w:t>隐患治理完成后，应根据隐患级别组织相关人员对治理情况进行验收并出具验收意见，实现闭环管理，并建立隐患排查治理台账。</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 xml:space="preserve">.4.5.2 </w:t>
      </w:r>
      <w:r>
        <w:rPr>
          <w:rFonts w:asciiTheme="minorEastAsia" w:eastAsiaTheme="minorEastAsia" w:hAnsiTheme="minorEastAsia" w:cstheme="minorEastAsia" w:hint="eastAsia"/>
          <w:sz w:val="28"/>
          <w:szCs w:val="28"/>
        </w:rPr>
        <w:t>重大事故隐患治理工作结束后，公司应组织对治理情况进行复查评估，并将治理结果向当地县人民政府负有安全生产监督管</w:t>
      </w:r>
      <w:r>
        <w:rPr>
          <w:rFonts w:asciiTheme="minorEastAsia" w:eastAsiaTheme="minorEastAsia" w:hAnsiTheme="minorEastAsia" w:cstheme="minorEastAsia" w:hint="eastAsia"/>
          <w:sz w:val="28"/>
          <w:szCs w:val="28"/>
        </w:rPr>
        <w:t>理职责的部门报告。</w:t>
      </w:r>
    </w:p>
    <w:p w:rsidR="00B31515" w:rsidRDefault="000C6CAF">
      <w:pPr>
        <w:pStyle w:val="1"/>
        <w:spacing w:before="0" w:after="0" w:line="360" w:lineRule="auto"/>
        <w:rPr>
          <w:rFonts w:asciiTheme="minorEastAsia" w:eastAsiaTheme="minorEastAsia" w:hAnsiTheme="minorEastAsia" w:cstheme="minorEastAsia"/>
          <w:kern w:val="0"/>
          <w:sz w:val="28"/>
          <w:szCs w:val="28"/>
        </w:rPr>
      </w:pPr>
      <w:bookmarkStart w:id="39" w:name="_Toc15732"/>
      <w:bookmarkStart w:id="40" w:name="_Toc12783"/>
      <w:r>
        <w:rPr>
          <w:rFonts w:asciiTheme="minorEastAsia" w:eastAsiaTheme="minorEastAsia" w:hAnsiTheme="minorEastAsia" w:cstheme="minorEastAsia" w:hint="eastAsia"/>
          <w:kern w:val="0"/>
          <w:sz w:val="28"/>
          <w:szCs w:val="28"/>
        </w:rPr>
        <w:t>8</w:t>
      </w:r>
      <w:r>
        <w:rPr>
          <w:rFonts w:asciiTheme="minorEastAsia" w:eastAsiaTheme="minorEastAsia" w:hAnsiTheme="minorEastAsia" w:cstheme="minorEastAsia" w:hint="eastAsia"/>
          <w:kern w:val="0"/>
          <w:sz w:val="28"/>
          <w:szCs w:val="28"/>
        </w:rPr>
        <w:t>文件管理</w:t>
      </w:r>
      <w:bookmarkEnd w:id="39"/>
      <w:bookmarkEnd w:id="40"/>
      <w:r>
        <w:rPr>
          <w:rFonts w:asciiTheme="minorEastAsia" w:eastAsiaTheme="minorEastAsia" w:hAnsiTheme="minorEastAsia" w:cstheme="minorEastAsia" w:hint="eastAsia"/>
          <w:kern w:val="0"/>
          <w:sz w:val="28"/>
          <w:szCs w:val="28"/>
        </w:rPr>
        <w:t xml:space="preserve"> </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8.1</w:t>
      </w:r>
      <w:r>
        <w:rPr>
          <w:rFonts w:asciiTheme="minorEastAsia" w:eastAsiaTheme="minorEastAsia" w:hAnsiTheme="minorEastAsia" w:cstheme="minorEastAsia" w:hint="eastAsia"/>
          <w:sz w:val="28"/>
          <w:szCs w:val="28"/>
        </w:rPr>
        <w:t>公司在隐患排查治理体系策划、实施及持续改进过程中，应完整保存体现隐患排查全过程的记录资料，并分类建档管理。至少应包括：</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——隐患排查治理制度；</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——隐患排查治理台账；</w:t>
      </w:r>
    </w:p>
    <w:p w:rsidR="00B31515" w:rsidRDefault="000C6CAF">
      <w:pPr>
        <w:pStyle w:val="ab"/>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——隐患排查项目清单等内容的文件成果。</w:t>
      </w:r>
    </w:p>
    <w:p w:rsidR="00B31515" w:rsidRDefault="000C6CAF">
      <w:pPr>
        <w:pStyle w:val="ab"/>
        <w:spacing w:line="360" w:lineRule="auto"/>
        <w:ind w:firstLine="560"/>
        <w:rPr>
          <w:rFonts w:asciiTheme="minorEastAsia" w:eastAsiaTheme="minorEastAsia" w:hAnsiTheme="minorEastAsia" w:cstheme="minorEastAsia"/>
        </w:rPr>
      </w:pPr>
      <w:r>
        <w:rPr>
          <w:rFonts w:asciiTheme="minorEastAsia" w:eastAsiaTheme="minorEastAsia" w:hAnsiTheme="minorEastAsia" w:cstheme="minorEastAsia" w:hint="eastAsia"/>
          <w:sz w:val="28"/>
          <w:szCs w:val="28"/>
        </w:rPr>
        <w:t>8.2</w:t>
      </w:r>
      <w:r>
        <w:rPr>
          <w:rFonts w:asciiTheme="minorEastAsia" w:eastAsiaTheme="minorEastAsia" w:hAnsiTheme="minorEastAsia" w:cstheme="minorEastAsia" w:hint="eastAsia"/>
          <w:sz w:val="28"/>
          <w:szCs w:val="28"/>
        </w:rPr>
        <w:t>重大事故隐患排查、评估报告，治理方案、整改验收等应保留纸质记录，单独建档管理</w:t>
      </w:r>
      <w:r>
        <w:rPr>
          <w:rFonts w:asciiTheme="minorEastAsia" w:eastAsiaTheme="minorEastAsia" w:hAnsiTheme="minorEastAsia" w:cstheme="minorEastAsia" w:hint="eastAsia"/>
        </w:rPr>
        <w:t>。</w:t>
      </w:r>
    </w:p>
    <w:p w:rsidR="00B31515" w:rsidRDefault="000C6CAF" w:rsidP="00B31515">
      <w:pPr>
        <w:pStyle w:val="1"/>
        <w:spacing w:before="0" w:afterLines="50" w:line="360" w:lineRule="auto"/>
        <w:rPr>
          <w:rFonts w:asciiTheme="minorEastAsia" w:eastAsiaTheme="minorEastAsia" w:hAnsiTheme="minorEastAsia" w:cstheme="minorEastAsia"/>
          <w:kern w:val="0"/>
          <w:sz w:val="28"/>
          <w:szCs w:val="28"/>
        </w:rPr>
      </w:pPr>
      <w:bookmarkStart w:id="41" w:name="_Toc19789"/>
      <w:bookmarkStart w:id="42" w:name="_Toc27463"/>
      <w:r>
        <w:rPr>
          <w:rFonts w:asciiTheme="minorEastAsia" w:eastAsiaTheme="minorEastAsia" w:hAnsiTheme="minorEastAsia" w:cstheme="minorEastAsia" w:hint="eastAsia"/>
          <w:kern w:val="0"/>
          <w:sz w:val="28"/>
          <w:szCs w:val="28"/>
        </w:rPr>
        <w:t>9</w:t>
      </w:r>
      <w:r>
        <w:rPr>
          <w:rFonts w:asciiTheme="minorEastAsia" w:eastAsiaTheme="minorEastAsia" w:hAnsiTheme="minorEastAsia" w:cstheme="minorEastAsia" w:hint="eastAsia"/>
          <w:kern w:val="0"/>
          <w:sz w:val="28"/>
          <w:szCs w:val="28"/>
        </w:rPr>
        <w:t>隐患排查治理效果</w:t>
      </w:r>
      <w:bookmarkEnd w:id="41"/>
      <w:bookmarkEnd w:id="42"/>
    </w:p>
    <w:p w:rsidR="00B31515" w:rsidRDefault="000C6CAF">
      <w:pPr>
        <w:pStyle w:val="38"/>
        <w:spacing w:before="0" w:beforeAutospacing="0" w:after="0" w:afterAutospacing="0" w:line="360" w:lineRule="auto"/>
        <w:ind w:firstLineChars="200" w:firstLine="560"/>
        <w:jc w:val="both"/>
        <w:rPr>
          <w:rFonts w:asciiTheme="minorEastAsia" w:eastAsiaTheme="minorEastAsia" w:hAnsiTheme="minorEastAsia" w:cstheme="minorEastAsia"/>
          <w:sz w:val="28"/>
          <w:szCs w:val="28"/>
        </w:rPr>
      </w:pPr>
      <w:bookmarkStart w:id="43" w:name="_Toc467219010"/>
      <w:bookmarkStart w:id="44" w:name="_Toc10547"/>
      <w:r>
        <w:rPr>
          <w:rFonts w:asciiTheme="minorEastAsia" w:eastAsiaTheme="minorEastAsia" w:hAnsiTheme="minorEastAsia" w:cstheme="minorEastAsia" w:hint="eastAsia"/>
          <w:sz w:val="28"/>
          <w:szCs w:val="28"/>
        </w:rPr>
        <w:t>通过隐患排查治理体系的建设，公司在以下方面有所改进：</w:t>
      </w:r>
    </w:p>
    <w:p w:rsidR="00B31515" w:rsidRDefault="000C6CAF">
      <w:pPr>
        <w:pStyle w:val="25"/>
        <w:spacing w:before="0" w:beforeAutospacing="0" w:after="0" w:afterAutospacing="0" w:line="360" w:lineRule="auto"/>
        <w:ind w:firstLineChars="200" w:firstLine="56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——风险控制措施全面持续有效；</w:t>
      </w:r>
    </w:p>
    <w:p w:rsidR="00B31515" w:rsidRDefault="000C6CAF">
      <w:pPr>
        <w:pStyle w:val="25"/>
        <w:spacing w:before="0" w:beforeAutospacing="0" w:after="0" w:afterAutospacing="0" w:line="360" w:lineRule="auto"/>
        <w:ind w:firstLineChars="200" w:firstLine="56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——风险管控能力得到加强和提升；</w:t>
      </w:r>
    </w:p>
    <w:p w:rsidR="00B31515" w:rsidRDefault="000C6CAF">
      <w:pPr>
        <w:pStyle w:val="25"/>
        <w:spacing w:before="0" w:beforeAutospacing="0" w:after="0" w:afterAutospacing="0" w:line="360" w:lineRule="auto"/>
        <w:ind w:firstLineChars="200" w:firstLine="56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——隐患排查治理制度进一步完善；</w:t>
      </w:r>
    </w:p>
    <w:p w:rsidR="00B31515" w:rsidRDefault="000C6CAF">
      <w:pPr>
        <w:pStyle w:val="25"/>
        <w:spacing w:before="0" w:beforeAutospacing="0" w:after="0" w:afterAutospacing="0" w:line="360" w:lineRule="auto"/>
        <w:ind w:firstLineChars="200" w:firstLine="56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——各级排查责任得到进一步落实；</w:t>
      </w:r>
    </w:p>
    <w:p w:rsidR="00B31515" w:rsidRDefault="000C6CAF">
      <w:pPr>
        <w:pStyle w:val="25"/>
        <w:spacing w:before="0" w:beforeAutospacing="0" w:after="0" w:afterAutospacing="0" w:line="360" w:lineRule="auto"/>
        <w:ind w:firstLineChars="200" w:firstLine="56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——员工隐患排查水平进一步提高；</w:t>
      </w:r>
    </w:p>
    <w:p w:rsidR="00B31515" w:rsidRDefault="000C6CAF">
      <w:pPr>
        <w:pStyle w:val="25"/>
        <w:spacing w:before="0" w:beforeAutospacing="0" w:after="0" w:afterAutospacing="0" w:line="360" w:lineRule="auto"/>
        <w:ind w:firstLineChars="200" w:firstLine="56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——对隐患频率较高的风险重新进行评价、分级，并制定完善控制措施；</w:t>
      </w:r>
    </w:p>
    <w:p w:rsidR="00B31515" w:rsidRDefault="000C6CAF">
      <w:pPr>
        <w:pStyle w:val="25"/>
        <w:spacing w:before="0" w:beforeAutospacing="0" w:after="0" w:afterAutospacing="0" w:line="360" w:lineRule="auto"/>
        <w:ind w:firstLineChars="200" w:firstLine="56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——生产安全事故明显减少；</w:t>
      </w:r>
    </w:p>
    <w:p w:rsidR="00B31515" w:rsidRDefault="000C6CAF">
      <w:pPr>
        <w:pStyle w:val="25"/>
        <w:spacing w:before="0" w:beforeAutospacing="0" w:after="0" w:afterAutospacing="0" w:line="360" w:lineRule="auto"/>
        <w:ind w:firstLineChars="200" w:firstLine="56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——职业健康管理水平进一步提升</w:t>
      </w:r>
    </w:p>
    <w:p w:rsidR="00B31515" w:rsidRDefault="000C6CAF">
      <w:pPr>
        <w:pStyle w:val="25"/>
        <w:spacing w:before="0" w:beforeAutospacing="0" w:after="0" w:afterAutospacing="0" w:line="360" w:lineRule="auto"/>
        <w:ind w:firstLineChars="200" w:firstLine="56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——建立事故隐患排查治理组织机构，健全事故隐患排查制度，落实隐患排查治理责任；</w:t>
      </w:r>
    </w:p>
    <w:p w:rsidR="00B31515" w:rsidRDefault="000C6CAF">
      <w:pPr>
        <w:pStyle w:val="25"/>
        <w:spacing w:before="0" w:beforeAutospacing="0" w:after="0" w:afterAutospacing="0" w:line="360" w:lineRule="auto"/>
        <w:ind w:firstLineChars="200" w:firstLine="56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——依据有关法律法规、技术标准、规程要求结合公司各类风险点的管控措施编制完整的隐患排查项目清单；</w:t>
      </w:r>
    </w:p>
    <w:p w:rsidR="00B31515" w:rsidRDefault="000C6CAF">
      <w:pPr>
        <w:pStyle w:val="25"/>
        <w:spacing w:before="0" w:beforeAutospacing="0" w:after="0" w:afterAutospacing="0" w:line="360" w:lineRule="auto"/>
        <w:ind w:firstLineChars="200" w:firstLine="56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——制定完整的可执行的排查计划并有效落实，形成完整的体现隐患排查全过程的记录资料；</w:t>
      </w:r>
    </w:p>
    <w:p w:rsidR="00B31515" w:rsidRDefault="000C6CAF">
      <w:pPr>
        <w:pStyle w:val="25"/>
        <w:spacing w:before="0" w:beforeAutospacing="0" w:after="0" w:afterAutospacing="0" w:line="360" w:lineRule="auto"/>
        <w:ind w:firstLineChars="200" w:firstLine="56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——隐患治理及时，保证整改措施、资金、时限、责任、预案“</w:t>
      </w:r>
      <w:r>
        <w:rPr>
          <w:rFonts w:asciiTheme="minorEastAsia" w:eastAsiaTheme="minorEastAsia" w:hAnsiTheme="minorEastAsia" w:cstheme="minorEastAsia" w:hint="eastAsia"/>
          <w:sz w:val="28"/>
          <w:szCs w:val="28"/>
        </w:rPr>
        <w:t>五到位”，实现闭环管理；</w:t>
      </w:r>
    </w:p>
    <w:p w:rsidR="00B31515" w:rsidRDefault="000C6CAF">
      <w:pPr>
        <w:pStyle w:val="25"/>
        <w:spacing w:before="0" w:beforeAutospacing="0" w:after="0" w:afterAutospacing="0" w:line="360" w:lineRule="auto"/>
        <w:ind w:firstLineChars="200" w:firstLine="56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——重大事故隐患编制评估报告书及治理方案并实施治理，治理方案和治理结果按规定上报当地县（市、区）人民政府负有安全生产监督管理职责的部门。</w:t>
      </w:r>
    </w:p>
    <w:p w:rsidR="00B31515" w:rsidRDefault="000C6CAF" w:rsidP="00B31515">
      <w:pPr>
        <w:pStyle w:val="1"/>
        <w:spacing w:before="0" w:afterLines="50" w:line="360" w:lineRule="auto"/>
        <w:rPr>
          <w:rFonts w:asciiTheme="minorEastAsia" w:eastAsiaTheme="minorEastAsia" w:hAnsiTheme="minorEastAsia" w:cstheme="minorEastAsia"/>
          <w:kern w:val="0"/>
          <w:sz w:val="28"/>
          <w:szCs w:val="28"/>
        </w:rPr>
      </w:pPr>
      <w:bookmarkStart w:id="45" w:name="_Toc14002"/>
      <w:r>
        <w:rPr>
          <w:rFonts w:asciiTheme="minorEastAsia" w:eastAsiaTheme="minorEastAsia" w:hAnsiTheme="minorEastAsia" w:cstheme="minorEastAsia" w:hint="eastAsia"/>
          <w:kern w:val="0"/>
          <w:sz w:val="28"/>
          <w:szCs w:val="28"/>
        </w:rPr>
        <w:lastRenderedPageBreak/>
        <w:t>10</w:t>
      </w:r>
      <w:r>
        <w:rPr>
          <w:rFonts w:asciiTheme="minorEastAsia" w:eastAsiaTheme="minorEastAsia" w:hAnsiTheme="minorEastAsia" w:cstheme="minorEastAsia" w:hint="eastAsia"/>
          <w:kern w:val="0"/>
          <w:sz w:val="28"/>
          <w:szCs w:val="28"/>
        </w:rPr>
        <w:t>持续改进</w:t>
      </w:r>
      <w:bookmarkEnd w:id="43"/>
      <w:bookmarkEnd w:id="44"/>
      <w:bookmarkEnd w:id="45"/>
    </w:p>
    <w:p w:rsidR="00B31515" w:rsidRDefault="000C6CAF">
      <w:pPr>
        <w:spacing w:line="360" w:lineRule="auto"/>
        <w:ind w:firstLineChars="200" w:firstLine="560"/>
        <w:rPr>
          <w:rFonts w:asciiTheme="minorEastAsia" w:hAnsiTheme="minorEastAsia" w:cstheme="minorEastAsia"/>
          <w:sz w:val="28"/>
          <w:szCs w:val="28"/>
        </w:rPr>
      </w:pPr>
      <w:bookmarkStart w:id="46" w:name="_Toc4388"/>
      <w:r>
        <w:rPr>
          <w:rFonts w:asciiTheme="minorEastAsia" w:hAnsiTheme="minorEastAsia" w:cstheme="minorEastAsia" w:hint="eastAsia"/>
          <w:sz w:val="28"/>
          <w:szCs w:val="28"/>
        </w:rPr>
        <w:t>公司定期对隐患排查治理体系进行评审。一般基于下述各方面的影响来考虑隐患排查治理体系评审时间安排和频次，但每年应不少于一次：</w:t>
      </w:r>
    </w:p>
    <w:p w:rsidR="00B31515" w:rsidRDefault="000C6CAF">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——法律法规的变化；</w:t>
      </w:r>
    </w:p>
    <w:p w:rsidR="00B31515" w:rsidRDefault="000C6CAF">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——新风险的相应需求；</w:t>
      </w:r>
    </w:p>
    <w:p w:rsidR="00B31515" w:rsidRDefault="000C6CAF">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——公司自身所产生的变更需求；</w:t>
      </w:r>
    </w:p>
    <w:p w:rsidR="00B31515" w:rsidRDefault="000C6CAF">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——外部因素；</w:t>
      </w:r>
    </w:p>
    <w:p w:rsidR="00B31515" w:rsidRDefault="000C6CAF">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——检查、事故事件、紧急情况或应急程序测试结果的反馈影响；</w:t>
      </w:r>
    </w:p>
    <w:p w:rsidR="00B31515" w:rsidRDefault="000C6CAF">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——控制技术的进步。</w:t>
      </w:r>
    </w:p>
    <w:p w:rsidR="00B31515" w:rsidRDefault="000C6CAF">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——当公司发生变更或者风险分级管控</w:t>
      </w:r>
      <w:r>
        <w:rPr>
          <w:rFonts w:asciiTheme="minorEastAsia" w:hAnsiTheme="minorEastAsia" w:cstheme="minorEastAsia" w:hint="eastAsia"/>
          <w:sz w:val="28"/>
          <w:szCs w:val="28"/>
        </w:rPr>
        <w:t>体系更新时，隐患排查项目清单应及时更新。</w:t>
      </w:r>
    </w:p>
    <w:p w:rsidR="00B31515" w:rsidRDefault="000C6CAF" w:rsidP="00B31515">
      <w:pPr>
        <w:pStyle w:val="1"/>
        <w:spacing w:before="0" w:afterLines="50" w:line="360" w:lineRule="auto"/>
        <w:rPr>
          <w:rFonts w:asciiTheme="minorEastAsia" w:eastAsiaTheme="minorEastAsia" w:hAnsiTheme="minorEastAsia" w:cstheme="minorEastAsia"/>
          <w:kern w:val="0"/>
          <w:sz w:val="28"/>
          <w:szCs w:val="28"/>
        </w:rPr>
      </w:pPr>
      <w:bookmarkStart w:id="47" w:name="_Toc25925"/>
      <w:r>
        <w:rPr>
          <w:rFonts w:asciiTheme="minorEastAsia" w:eastAsiaTheme="minorEastAsia" w:hAnsiTheme="minorEastAsia" w:cstheme="minorEastAsia" w:hint="eastAsia"/>
          <w:kern w:val="0"/>
          <w:sz w:val="28"/>
          <w:szCs w:val="28"/>
        </w:rPr>
        <w:t>1</w:t>
      </w:r>
      <w:r>
        <w:rPr>
          <w:rFonts w:asciiTheme="minorEastAsia" w:eastAsiaTheme="minorEastAsia" w:hAnsiTheme="minorEastAsia" w:cstheme="minorEastAsia" w:hint="eastAsia"/>
          <w:kern w:val="0"/>
          <w:sz w:val="28"/>
          <w:szCs w:val="28"/>
        </w:rPr>
        <w:t>1</w:t>
      </w:r>
      <w:r>
        <w:rPr>
          <w:rFonts w:asciiTheme="minorEastAsia" w:eastAsiaTheme="minorEastAsia" w:hAnsiTheme="minorEastAsia" w:cstheme="minorEastAsia" w:hint="eastAsia"/>
          <w:kern w:val="0"/>
          <w:sz w:val="28"/>
          <w:szCs w:val="28"/>
        </w:rPr>
        <w:t>信息交流</w:t>
      </w:r>
      <w:bookmarkEnd w:id="46"/>
      <w:bookmarkEnd w:id="47"/>
    </w:p>
    <w:p w:rsidR="00B31515" w:rsidRDefault="000C6CAF">
      <w:pPr>
        <w:spacing w:line="360" w:lineRule="auto"/>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公司明确需交流、公布、警示的内容、对象及时机。结合安全生产标准化中的信息、沟通与协商有关的程序文件或制度执行。</w:t>
      </w:r>
    </w:p>
    <w:p w:rsidR="00B31515" w:rsidRDefault="000C6CAF" w:rsidP="00B31515">
      <w:pPr>
        <w:pStyle w:val="1"/>
        <w:spacing w:before="0" w:afterLines="50" w:line="360" w:lineRule="auto"/>
        <w:rPr>
          <w:rFonts w:asciiTheme="minorEastAsia" w:eastAsiaTheme="minorEastAsia" w:hAnsiTheme="minorEastAsia" w:cstheme="minorEastAsia"/>
          <w:kern w:val="0"/>
          <w:sz w:val="28"/>
          <w:szCs w:val="28"/>
        </w:rPr>
      </w:pPr>
      <w:bookmarkStart w:id="48" w:name="_Toc19605"/>
      <w:bookmarkStart w:id="49" w:name="_Toc385"/>
      <w:r>
        <w:rPr>
          <w:rFonts w:asciiTheme="minorEastAsia" w:eastAsiaTheme="minorEastAsia" w:hAnsiTheme="minorEastAsia" w:cstheme="minorEastAsia" w:hint="eastAsia"/>
          <w:kern w:val="0"/>
          <w:sz w:val="28"/>
          <w:szCs w:val="28"/>
        </w:rPr>
        <w:t>1</w:t>
      </w:r>
      <w:r>
        <w:rPr>
          <w:rFonts w:asciiTheme="minorEastAsia" w:eastAsiaTheme="minorEastAsia" w:hAnsiTheme="minorEastAsia" w:cstheme="minorEastAsia" w:hint="eastAsia"/>
          <w:kern w:val="0"/>
          <w:sz w:val="28"/>
          <w:szCs w:val="28"/>
        </w:rPr>
        <w:t>2</w:t>
      </w:r>
      <w:r>
        <w:rPr>
          <w:rFonts w:asciiTheme="minorEastAsia" w:eastAsiaTheme="minorEastAsia" w:hAnsiTheme="minorEastAsia" w:cstheme="minorEastAsia" w:hint="eastAsia"/>
          <w:kern w:val="0"/>
          <w:sz w:val="28"/>
          <w:szCs w:val="28"/>
        </w:rPr>
        <w:t>公告警示</w:t>
      </w:r>
      <w:bookmarkEnd w:id="48"/>
      <w:bookmarkEnd w:id="49"/>
    </w:p>
    <w:p w:rsidR="00B31515" w:rsidRDefault="000C6CAF">
      <w:pPr>
        <w:pStyle w:val="10"/>
        <w:autoSpaceDE w:val="0"/>
        <w:autoSpaceDN w:val="0"/>
        <w:spacing w:line="360" w:lineRule="auto"/>
        <w:ind w:firstLine="560"/>
        <w:jc w:val="left"/>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kern w:val="0"/>
          <w:sz w:val="28"/>
          <w:szCs w:val="28"/>
        </w:rPr>
        <w:t>隐患排查人员将各类隐患排查结果填入《隐患排查表》（附表），及时上报公司隐患排查主管部门。</w:t>
      </w:r>
    </w:p>
    <w:p w:rsidR="00B31515" w:rsidRDefault="000C6CAF">
      <w:pPr>
        <w:pStyle w:val="10"/>
        <w:autoSpaceDE w:val="0"/>
        <w:autoSpaceDN w:val="0"/>
        <w:spacing w:line="360" w:lineRule="auto"/>
        <w:ind w:firstLine="560"/>
        <w:jc w:val="left"/>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kern w:val="0"/>
          <w:sz w:val="28"/>
          <w:szCs w:val="28"/>
        </w:rPr>
        <w:t>1</w:t>
      </w:r>
      <w:r>
        <w:rPr>
          <w:rFonts w:asciiTheme="minorEastAsia" w:eastAsiaTheme="minorEastAsia" w:hAnsiTheme="minorEastAsia" w:cstheme="minorEastAsia" w:hint="eastAsia"/>
          <w:kern w:val="0"/>
          <w:sz w:val="28"/>
          <w:szCs w:val="28"/>
        </w:rPr>
        <w:t>2</w:t>
      </w:r>
      <w:r>
        <w:rPr>
          <w:rFonts w:asciiTheme="minorEastAsia" w:eastAsiaTheme="minorEastAsia" w:hAnsiTheme="minorEastAsia" w:cstheme="minorEastAsia" w:hint="eastAsia"/>
          <w:kern w:val="0"/>
          <w:sz w:val="28"/>
          <w:szCs w:val="28"/>
        </w:rPr>
        <w:t>.2</w:t>
      </w:r>
      <w:r>
        <w:rPr>
          <w:rFonts w:asciiTheme="minorEastAsia" w:eastAsiaTheme="minorEastAsia" w:hAnsiTheme="minorEastAsia" w:cstheme="minorEastAsia" w:hint="eastAsia"/>
          <w:kern w:val="0"/>
          <w:sz w:val="28"/>
          <w:szCs w:val="28"/>
        </w:rPr>
        <w:t>公司隐患排查主管部门</w:t>
      </w:r>
      <w:r>
        <w:rPr>
          <w:rFonts w:asciiTheme="minorEastAsia" w:eastAsiaTheme="minorEastAsia" w:hAnsiTheme="minorEastAsia" w:cstheme="minorEastAsia" w:hint="eastAsia"/>
          <w:bCs/>
          <w:sz w:val="28"/>
          <w:szCs w:val="28"/>
        </w:rPr>
        <w:t>对上报的事故隐患排查治理情况进行汇总，填写《事故隐患分类汇总表》（附表）、分析统计、实施奖惩。</w:t>
      </w:r>
    </w:p>
    <w:p w:rsidR="00B31515" w:rsidRDefault="000C6CAF">
      <w:pPr>
        <w:pStyle w:val="10"/>
        <w:autoSpaceDE w:val="0"/>
        <w:autoSpaceDN w:val="0"/>
        <w:spacing w:line="360" w:lineRule="auto"/>
        <w:ind w:firstLine="560"/>
        <w:jc w:val="left"/>
        <w:rPr>
          <w:rFonts w:asciiTheme="minorEastAsia" w:eastAsiaTheme="minorEastAsia" w:hAnsiTheme="minorEastAsia" w:cstheme="minorEastAsia"/>
          <w:kern w:val="0"/>
          <w:sz w:val="28"/>
          <w:szCs w:val="28"/>
        </w:rPr>
      </w:pPr>
      <w:r>
        <w:rPr>
          <w:rFonts w:asciiTheme="minorEastAsia" w:eastAsiaTheme="minorEastAsia" w:hAnsiTheme="minorEastAsia" w:cstheme="minorEastAsia" w:hint="eastAsia"/>
          <w:kern w:val="0"/>
          <w:sz w:val="28"/>
          <w:szCs w:val="28"/>
        </w:rPr>
        <w:t>1</w:t>
      </w:r>
      <w:r>
        <w:rPr>
          <w:rFonts w:asciiTheme="minorEastAsia" w:eastAsiaTheme="minorEastAsia" w:hAnsiTheme="minorEastAsia" w:cstheme="minorEastAsia" w:hint="eastAsia"/>
          <w:kern w:val="0"/>
          <w:sz w:val="28"/>
          <w:szCs w:val="28"/>
        </w:rPr>
        <w:t>2</w:t>
      </w:r>
      <w:r>
        <w:rPr>
          <w:rFonts w:asciiTheme="minorEastAsia" w:eastAsiaTheme="minorEastAsia" w:hAnsiTheme="minorEastAsia" w:cstheme="minorEastAsia" w:hint="eastAsia"/>
          <w:kern w:val="0"/>
          <w:sz w:val="28"/>
          <w:szCs w:val="28"/>
        </w:rPr>
        <w:t>.3</w:t>
      </w:r>
      <w:r>
        <w:rPr>
          <w:rFonts w:asciiTheme="minorEastAsia" w:eastAsiaTheme="minorEastAsia" w:hAnsiTheme="minorEastAsia" w:cstheme="minorEastAsia" w:hint="eastAsia"/>
          <w:kern w:val="0"/>
          <w:sz w:val="28"/>
          <w:szCs w:val="28"/>
        </w:rPr>
        <w:t>公司应将排查出来的隐患录入主管部门“隐患排查治理信息系统”，并按规定要求及时予以整改，切实履行隐患自查自改自报主体责任。</w:t>
      </w:r>
    </w:p>
    <w:p w:rsidR="00B31515" w:rsidRDefault="000C6CAF">
      <w:pPr>
        <w:pStyle w:val="10"/>
        <w:autoSpaceDE w:val="0"/>
        <w:autoSpaceDN w:val="0"/>
        <w:spacing w:line="360" w:lineRule="auto"/>
        <w:ind w:firstLine="560"/>
        <w:jc w:val="left"/>
        <w:rPr>
          <w:rFonts w:asciiTheme="minorEastAsia" w:eastAsiaTheme="minorEastAsia" w:hAnsiTheme="minorEastAsia" w:cstheme="minorEastAsia"/>
          <w:b/>
          <w:bCs/>
          <w:sz w:val="24"/>
        </w:rPr>
        <w:sectPr w:rsidR="00B31515">
          <w:headerReference w:type="even" r:id="rId9"/>
          <w:headerReference w:type="default" r:id="rId10"/>
          <w:footerReference w:type="even" r:id="rId11"/>
          <w:footerReference w:type="default" r:id="rId12"/>
          <w:headerReference w:type="first" r:id="rId13"/>
          <w:footerReference w:type="first" r:id="rId14"/>
          <w:pgSz w:w="11906" w:h="16838"/>
          <w:pgMar w:top="1246" w:right="1418" w:bottom="1418" w:left="1531" w:header="851" w:footer="992" w:gutter="0"/>
          <w:pgNumType w:start="1"/>
          <w:cols w:space="720"/>
          <w:docGrid w:linePitch="442" w:charSpace="-849"/>
        </w:sectPr>
      </w:pPr>
      <w:r>
        <w:rPr>
          <w:rFonts w:asciiTheme="minorEastAsia" w:eastAsiaTheme="minorEastAsia" w:hAnsiTheme="minorEastAsia" w:cstheme="minorEastAsia" w:hint="eastAsia"/>
          <w:kern w:val="0"/>
          <w:sz w:val="28"/>
          <w:szCs w:val="28"/>
        </w:rPr>
        <w:t>1</w:t>
      </w:r>
      <w:r>
        <w:rPr>
          <w:rFonts w:asciiTheme="minorEastAsia" w:eastAsiaTheme="minorEastAsia" w:hAnsiTheme="minorEastAsia" w:cstheme="minorEastAsia" w:hint="eastAsia"/>
          <w:kern w:val="0"/>
          <w:sz w:val="28"/>
          <w:szCs w:val="28"/>
        </w:rPr>
        <w:t>2</w:t>
      </w:r>
      <w:r>
        <w:rPr>
          <w:rFonts w:asciiTheme="minorEastAsia" w:eastAsiaTheme="minorEastAsia" w:hAnsiTheme="minorEastAsia" w:cstheme="minorEastAsia" w:hint="eastAsia"/>
          <w:kern w:val="0"/>
          <w:sz w:val="28"/>
          <w:szCs w:val="28"/>
        </w:rPr>
        <w:t>.4</w:t>
      </w:r>
      <w:r>
        <w:rPr>
          <w:rFonts w:asciiTheme="minorEastAsia" w:eastAsiaTheme="minorEastAsia" w:hAnsiTheme="minorEastAsia" w:cstheme="minorEastAsia" w:hint="eastAsia"/>
          <w:kern w:val="0"/>
          <w:sz w:val="28"/>
          <w:szCs w:val="28"/>
        </w:rPr>
        <w:t>公司应通过《隐患排查治理公示牌》（附件）的形式将隐患排查治理情况在公司内部进行公示。</w:t>
      </w:r>
      <w:r>
        <w:rPr>
          <w:rFonts w:asciiTheme="minorEastAsia" w:eastAsiaTheme="minorEastAsia" w:hAnsiTheme="minorEastAsia" w:cstheme="minorEastAsia" w:hint="eastAsia"/>
          <w:sz w:val="28"/>
          <w:szCs w:val="28"/>
        </w:rPr>
        <w:t xml:space="preserve"> </w:t>
      </w:r>
    </w:p>
    <w:p w:rsidR="00B31515" w:rsidRDefault="000C6CAF">
      <w:pPr>
        <w:rPr>
          <w:rFonts w:asciiTheme="minorEastAsia" w:hAnsiTheme="minorEastAsia" w:cstheme="minorEastAsia"/>
          <w:b/>
          <w:bCs/>
          <w:kern w:val="44"/>
          <w:sz w:val="32"/>
          <w:szCs w:val="32"/>
        </w:rPr>
      </w:pPr>
      <w:bookmarkStart w:id="50" w:name="_Toc487271512"/>
      <w:bookmarkStart w:id="51" w:name="_Toc11364"/>
      <w:bookmarkStart w:id="52" w:name="_Toc5049"/>
      <w:bookmarkStart w:id="53" w:name="_Toc5618"/>
      <w:bookmarkStart w:id="54" w:name="_Toc26289"/>
      <w:bookmarkStart w:id="55" w:name="_Toc12042"/>
      <w:bookmarkStart w:id="56" w:name="_Toc18906"/>
      <w:bookmarkStart w:id="57" w:name="_Toc487271513"/>
      <w:bookmarkStart w:id="58" w:name="_Toc31858"/>
      <w:bookmarkStart w:id="59" w:name="_Toc29388"/>
      <w:bookmarkStart w:id="60" w:name="_Toc18107"/>
      <w:bookmarkStart w:id="61" w:name="_Toc15549"/>
      <w:bookmarkEnd w:id="50"/>
      <w:bookmarkEnd w:id="51"/>
      <w:bookmarkEnd w:id="52"/>
      <w:bookmarkEnd w:id="53"/>
      <w:bookmarkEnd w:id="54"/>
      <w:bookmarkEnd w:id="55"/>
      <w:bookmarkEnd w:id="56"/>
      <w:bookmarkEnd w:id="57"/>
      <w:bookmarkEnd w:id="58"/>
      <w:bookmarkEnd w:id="59"/>
      <w:r>
        <w:rPr>
          <w:rFonts w:asciiTheme="minorEastAsia" w:hAnsiTheme="minorEastAsia" w:cstheme="minorEastAsia" w:hint="eastAsia"/>
          <w:b/>
          <w:bCs/>
          <w:kern w:val="44"/>
          <w:sz w:val="32"/>
          <w:szCs w:val="32"/>
        </w:rPr>
        <w:lastRenderedPageBreak/>
        <w:t>附录</w:t>
      </w:r>
      <w:r>
        <w:rPr>
          <w:rFonts w:asciiTheme="minorEastAsia" w:hAnsiTheme="minorEastAsia" w:cstheme="minorEastAsia" w:hint="eastAsia"/>
          <w:b/>
          <w:bCs/>
          <w:kern w:val="44"/>
          <w:sz w:val="32"/>
          <w:szCs w:val="32"/>
        </w:rPr>
        <w:t>1</w:t>
      </w:r>
      <w:hyperlink r:id="rId15" w:history="1">
        <w:r>
          <w:rPr>
            <w:rFonts w:asciiTheme="minorEastAsia" w:hAnsiTheme="minorEastAsia" w:cstheme="minorEastAsia" w:hint="eastAsia"/>
            <w:b/>
            <w:bCs/>
            <w:kern w:val="44"/>
            <w:sz w:val="32"/>
            <w:szCs w:val="32"/>
          </w:rPr>
          <w:t>现场类隐患排查</w:t>
        </w:r>
        <w:bookmarkStart w:id="62" w:name="_Hlt484838785"/>
        <w:bookmarkStart w:id="63" w:name="_Hlt484838786"/>
        <w:r>
          <w:rPr>
            <w:rFonts w:asciiTheme="minorEastAsia" w:hAnsiTheme="minorEastAsia" w:cstheme="minorEastAsia" w:hint="eastAsia"/>
            <w:b/>
            <w:bCs/>
            <w:kern w:val="44"/>
            <w:sz w:val="32"/>
            <w:szCs w:val="32"/>
          </w:rPr>
          <w:t>项</w:t>
        </w:r>
        <w:bookmarkEnd w:id="62"/>
        <w:bookmarkEnd w:id="63"/>
        <w:r>
          <w:rPr>
            <w:rFonts w:asciiTheme="minorEastAsia" w:hAnsiTheme="minorEastAsia" w:cstheme="minorEastAsia" w:hint="eastAsia"/>
            <w:b/>
            <w:bCs/>
            <w:kern w:val="44"/>
            <w:sz w:val="32"/>
            <w:szCs w:val="32"/>
          </w:rPr>
          <w:t>目清单</w:t>
        </w:r>
      </w:hyperlink>
      <w:bookmarkEnd w:id="60"/>
      <w:bookmarkEnd w:id="61"/>
    </w:p>
    <w:tbl>
      <w:tblPr>
        <w:tblW w:w="13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1"/>
        <w:gridCol w:w="671"/>
        <w:gridCol w:w="671"/>
        <w:gridCol w:w="671"/>
        <w:gridCol w:w="681"/>
        <w:gridCol w:w="670"/>
        <w:gridCol w:w="670"/>
        <w:gridCol w:w="1028"/>
        <w:gridCol w:w="485"/>
        <w:gridCol w:w="622"/>
        <w:gridCol w:w="622"/>
        <w:gridCol w:w="670"/>
        <w:gridCol w:w="670"/>
        <w:gridCol w:w="670"/>
        <w:gridCol w:w="670"/>
        <w:gridCol w:w="670"/>
        <w:gridCol w:w="670"/>
        <w:gridCol w:w="670"/>
        <w:gridCol w:w="670"/>
        <w:gridCol w:w="638"/>
      </w:tblGrid>
      <w:tr w:rsidR="00B31515">
        <w:trPr>
          <w:trHeight w:val="762"/>
        </w:trPr>
        <w:tc>
          <w:tcPr>
            <w:tcW w:w="3365" w:type="dxa"/>
            <w:gridSpan w:val="5"/>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风险点</w:t>
            </w:r>
          </w:p>
        </w:tc>
        <w:tc>
          <w:tcPr>
            <w:tcW w:w="2853" w:type="dxa"/>
            <w:gridSpan w:val="4"/>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排查内容与排查标准</w:t>
            </w:r>
          </w:p>
        </w:tc>
        <w:tc>
          <w:tcPr>
            <w:tcW w:w="1914" w:type="dxa"/>
            <w:gridSpan w:val="3"/>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日常检查</w:t>
            </w:r>
          </w:p>
        </w:tc>
        <w:tc>
          <w:tcPr>
            <w:tcW w:w="2010" w:type="dxa"/>
            <w:gridSpan w:val="3"/>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专业性检查</w:t>
            </w:r>
          </w:p>
        </w:tc>
        <w:tc>
          <w:tcPr>
            <w:tcW w:w="2010" w:type="dxa"/>
            <w:gridSpan w:val="3"/>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综合性检查</w:t>
            </w:r>
          </w:p>
        </w:tc>
        <w:tc>
          <w:tcPr>
            <w:tcW w:w="1308" w:type="dxa"/>
            <w:gridSpan w:val="2"/>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w:t>
            </w:r>
          </w:p>
        </w:tc>
      </w:tr>
      <w:tr w:rsidR="00B31515">
        <w:trPr>
          <w:trHeight w:val="664"/>
        </w:trPr>
        <w:tc>
          <w:tcPr>
            <w:tcW w:w="671" w:type="dxa"/>
            <w:vMerge w:val="restart"/>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编号</w:t>
            </w:r>
          </w:p>
        </w:tc>
        <w:tc>
          <w:tcPr>
            <w:tcW w:w="671" w:type="dxa"/>
            <w:vMerge w:val="restart"/>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类型</w:t>
            </w:r>
          </w:p>
        </w:tc>
        <w:tc>
          <w:tcPr>
            <w:tcW w:w="671" w:type="dxa"/>
            <w:vMerge w:val="restart"/>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名称</w:t>
            </w:r>
          </w:p>
        </w:tc>
        <w:tc>
          <w:tcPr>
            <w:tcW w:w="671" w:type="dxa"/>
            <w:vMerge w:val="restart"/>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风险点等级</w:t>
            </w:r>
          </w:p>
        </w:tc>
        <w:tc>
          <w:tcPr>
            <w:tcW w:w="681" w:type="dxa"/>
            <w:vMerge w:val="restart"/>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责任单位</w:t>
            </w:r>
          </w:p>
        </w:tc>
        <w:tc>
          <w:tcPr>
            <w:tcW w:w="1340" w:type="dxa"/>
            <w:gridSpan w:val="2"/>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作业步骤</w:t>
            </w:r>
          </w:p>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（检查项目）</w:t>
            </w:r>
          </w:p>
        </w:tc>
        <w:tc>
          <w:tcPr>
            <w:tcW w:w="1513" w:type="dxa"/>
            <w:gridSpan w:val="2"/>
            <w:vMerge w:val="restart"/>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管控</w:t>
            </w:r>
          </w:p>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措施</w:t>
            </w:r>
          </w:p>
        </w:tc>
        <w:tc>
          <w:tcPr>
            <w:tcW w:w="622" w:type="dxa"/>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交接班</w:t>
            </w:r>
          </w:p>
        </w:tc>
        <w:tc>
          <w:tcPr>
            <w:tcW w:w="622" w:type="dxa"/>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巡检</w:t>
            </w:r>
          </w:p>
        </w:tc>
        <w:tc>
          <w:tcPr>
            <w:tcW w:w="670" w:type="dxa"/>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w:t>
            </w:r>
          </w:p>
        </w:tc>
        <w:tc>
          <w:tcPr>
            <w:tcW w:w="670" w:type="dxa"/>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设备</w:t>
            </w:r>
          </w:p>
        </w:tc>
        <w:tc>
          <w:tcPr>
            <w:tcW w:w="670"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电气</w:t>
            </w:r>
          </w:p>
        </w:tc>
        <w:tc>
          <w:tcPr>
            <w:tcW w:w="670" w:type="dxa"/>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w:t>
            </w:r>
          </w:p>
        </w:tc>
        <w:tc>
          <w:tcPr>
            <w:tcW w:w="670" w:type="dxa"/>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车间级</w:t>
            </w:r>
          </w:p>
        </w:tc>
        <w:tc>
          <w:tcPr>
            <w:tcW w:w="670"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公司级</w:t>
            </w:r>
          </w:p>
        </w:tc>
        <w:tc>
          <w:tcPr>
            <w:tcW w:w="670" w:type="dxa"/>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w:t>
            </w:r>
          </w:p>
        </w:tc>
        <w:tc>
          <w:tcPr>
            <w:tcW w:w="670" w:type="dxa"/>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w:t>
            </w:r>
          </w:p>
        </w:tc>
        <w:tc>
          <w:tcPr>
            <w:tcW w:w="638" w:type="dxa"/>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w:t>
            </w:r>
          </w:p>
        </w:tc>
      </w:tr>
      <w:tr w:rsidR="00B31515">
        <w:trPr>
          <w:trHeight w:val="1345"/>
        </w:trPr>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81" w:type="dxa"/>
            <w:vMerge/>
            <w:vAlign w:val="center"/>
          </w:tcPr>
          <w:p w:rsidR="00B31515" w:rsidRDefault="00B31515">
            <w:pPr>
              <w:jc w:val="center"/>
              <w:rPr>
                <w:rFonts w:asciiTheme="minorEastAsia" w:hAnsiTheme="minorEastAsia" w:cstheme="minorEastAsia"/>
                <w:sz w:val="18"/>
                <w:szCs w:val="18"/>
              </w:rPr>
            </w:pPr>
          </w:p>
        </w:tc>
        <w:tc>
          <w:tcPr>
            <w:tcW w:w="670" w:type="dxa"/>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序号</w:t>
            </w:r>
          </w:p>
        </w:tc>
        <w:tc>
          <w:tcPr>
            <w:tcW w:w="670" w:type="dxa"/>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名称</w:t>
            </w:r>
          </w:p>
        </w:tc>
        <w:tc>
          <w:tcPr>
            <w:tcW w:w="1513" w:type="dxa"/>
            <w:gridSpan w:val="2"/>
            <w:vMerge/>
            <w:vAlign w:val="center"/>
          </w:tcPr>
          <w:p w:rsidR="00B31515" w:rsidRDefault="00B31515">
            <w:pPr>
              <w:jc w:val="center"/>
              <w:rPr>
                <w:rFonts w:asciiTheme="minorEastAsia" w:hAnsiTheme="minorEastAsia" w:cstheme="minorEastAsia"/>
                <w:sz w:val="18"/>
                <w:szCs w:val="18"/>
              </w:rPr>
            </w:pPr>
          </w:p>
        </w:tc>
        <w:tc>
          <w:tcPr>
            <w:tcW w:w="622"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排查周期</w:t>
            </w:r>
            <w:r>
              <w:rPr>
                <w:rFonts w:asciiTheme="minorEastAsia" w:hAnsiTheme="minorEastAsia" w:cstheme="minorEastAsia" w:hint="eastAsia"/>
                <w:sz w:val="18"/>
                <w:szCs w:val="18"/>
              </w:rPr>
              <w:t>/</w:t>
            </w:r>
            <w:r>
              <w:rPr>
                <w:rFonts w:asciiTheme="minorEastAsia" w:hAnsiTheme="minorEastAsia" w:cstheme="minorEastAsia" w:hint="eastAsia"/>
                <w:sz w:val="18"/>
                <w:szCs w:val="18"/>
              </w:rPr>
              <w:t>组织级别</w:t>
            </w:r>
          </w:p>
        </w:tc>
        <w:tc>
          <w:tcPr>
            <w:tcW w:w="622"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排查周期</w:t>
            </w:r>
            <w:r>
              <w:rPr>
                <w:rFonts w:asciiTheme="minorEastAsia" w:hAnsiTheme="minorEastAsia" w:cstheme="minorEastAsia" w:hint="eastAsia"/>
                <w:sz w:val="18"/>
                <w:szCs w:val="18"/>
              </w:rPr>
              <w:t>/</w:t>
            </w:r>
            <w:r>
              <w:rPr>
                <w:rFonts w:asciiTheme="minorEastAsia" w:hAnsiTheme="minorEastAsia" w:cstheme="minorEastAsia" w:hint="eastAsia"/>
                <w:sz w:val="18"/>
                <w:szCs w:val="18"/>
              </w:rPr>
              <w:t>组织级别</w:t>
            </w:r>
          </w:p>
        </w:tc>
        <w:tc>
          <w:tcPr>
            <w:tcW w:w="670" w:type="dxa"/>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w:t>
            </w:r>
          </w:p>
        </w:tc>
        <w:tc>
          <w:tcPr>
            <w:tcW w:w="670"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排查周期</w:t>
            </w:r>
            <w:r>
              <w:rPr>
                <w:rFonts w:asciiTheme="minorEastAsia" w:hAnsiTheme="minorEastAsia" w:cstheme="minorEastAsia" w:hint="eastAsia"/>
                <w:sz w:val="18"/>
                <w:szCs w:val="18"/>
              </w:rPr>
              <w:t>/</w:t>
            </w:r>
            <w:r>
              <w:rPr>
                <w:rFonts w:asciiTheme="minorEastAsia" w:hAnsiTheme="minorEastAsia" w:cstheme="minorEastAsia" w:hint="eastAsia"/>
                <w:sz w:val="18"/>
                <w:szCs w:val="18"/>
              </w:rPr>
              <w:t>组织级别</w:t>
            </w:r>
          </w:p>
        </w:tc>
        <w:tc>
          <w:tcPr>
            <w:tcW w:w="670"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排查周期</w:t>
            </w:r>
            <w:r>
              <w:rPr>
                <w:rFonts w:asciiTheme="minorEastAsia" w:hAnsiTheme="minorEastAsia" w:cstheme="minorEastAsia" w:hint="eastAsia"/>
                <w:sz w:val="18"/>
                <w:szCs w:val="18"/>
              </w:rPr>
              <w:t>/</w:t>
            </w:r>
            <w:r>
              <w:rPr>
                <w:rFonts w:asciiTheme="minorEastAsia" w:hAnsiTheme="minorEastAsia" w:cstheme="minorEastAsia" w:hint="eastAsia"/>
                <w:sz w:val="18"/>
                <w:szCs w:val="18"/>
              </w:rPr>
              <w:t>组织级别</w:t>
            </w:r>
          </w:p>
        </w:tc>
        <w:tc>
          <w:tcPr>
            <w:tcW w:w="670" w:type="dxa"/>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w:t>
            </w:r>
          </w:p>
        </w:tc>
        <w:tc>
          <w:tcPr>
            <w:tcW w:w="670"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排查周期</w:t>
            </w:r>
            <w:r>
              <w:rPr>
                <w:rFonts w:asciiTheme="minorEastAsia" w:hAnsiTheme="minorEastAsia" w:cstheme="minorEastAsia" w:hint="eastAsia"/>
                <w:sz w:val="18"/>
                <w:szCs w:val="18"/>
              </w:rPr>
              <w:t>/</w:t>
            </w:r>
            <w:r>
              <w:rPr>
                <w:rFonts w:asciiTheme="minorEastAsia" w:hAnsiTheme="minorEastAsia" w:cstheme="minorEastAsia" w:hint="eastAsia"/>
                <w:sz w:val="18"/>
                <w:szCs w:val="18"/>
              </w:rPr>
              <w:t>组织级别</w:t>
            </w:r>
          </w:p>
        </w:tc>
        <w:tc>
          <w:tcPr>
            <w:tcW w:w="670"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排查周期</w:t>
            </w:r>
            <w:r>
              <w:rPr>
                <w:rFonts w:asciiTheme="minorEastAsia" w:hAnsiTheme="minorEastAsia" w:cstheme="minorEastAsia" w:hint="eastAsia"/>
                <w:sz w:val="18"/>
                <w:szCs w:val="18"/>
              </w:rPr>
              <w:t>/</w:t>
            </w:r>
            <w:r>
              <w:rPr>
                <w:rFonts w:asciiTheme="minorEastAsia" w:hAnsiTheme="minorEastAsia" w:cstheme="minorEastAsia" w:hint="eastAsia"/>
                <w:sz w:val="18"/>
                <w:szCs w:val="18"/>
              </w:rPr>
              <w:t>组织级别</w:t>
            </w:r>
          </w:p>
        </w:tc>
        <w:tc>
          <w:tcPr>
            <w:tcW w:w="670" w:type="dxa"/>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w:t>
            </w:r>
          </w:p>
        </w:tc>
        <w:tc>
          <w:tcPr>
            <w:tcW w:w="670"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排查周期</w:t>
            </w:r>
            <w:r>
              <w:rPr>
                <w:rFonts w:asciiTheme="minorEastAsia" w:hAnsiTheme="minorEastAsia" w:cstheme="minorEastAsia" w:hint="eastAsia"/>
                <w:sz w:val="18"/>
                <w:szCs w:val="18"/>
              </w:rPr>
              <w:t>/</w:t>
            </w:r>
            <w:r>
              <w:rPr>
                <w:rFonts w:asciiTheme="minorEastAsia" w:hAnsiTheme="minorEastAsia" w:cstheme="minorEastAsia" w:hint="eastAsia"/>
                <w:sz w:val="18"/>
                <w:szCs w:val="18"/>
              </w:rPr>
              <w:t>组织级别</w:t>
            </w:r>
          </w:p>
        </w:tc>
        <w:tc>
          <w:tcPr>
            <w:tcW w:w="638"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排查周期</w:t>
            </w:r>
            <w:r>
              <w:rPr>
                <w:rFonts w:asciiTheme="minorEastAsia" w:hAnsiTheme="minorEastAsia" w:cstheme="minorEastAsia" w:hint="eastAsia"/>
                <w:sz w:val="18"/>
                <w:szCs w:val="18"/>
              </w:rPr>
              <w:t>/</w:t>
            </w:r>
            <w:r>
              <w:rPr>
                <w:rFonts w:asciiTheme="minorEastAsia" w:hAnsiTheme="minorEastAsia" w:cstheme="minorEastAsia" w:hint="eastAsia"/>
                <w:sz w:val="18"/>
                <w:szCs w:val="18"/>
              </w:rPr>
              <w:t>组织级别</w:t>
            </w:r>
          </w:p>
        </w:tc>
      </w:tr>
      <w:tr w:rsidR="00B31515">
        <w:trPr>
          <w:trHeight w:val="226"/>
        </w:trPr>
        <w:tc>
          <w:tcPr>
            <w:tcW w:w="671" w:type="dxa"/>
            <w:vMerge w:val="restart"/>
            <w:vAlign w:val="center"/>
          </w:tcPr>
          <w:p w:rsidR="00B31515" w:rsidRDefault="00B31515">
            <w:pPr>
              <w:jc w:val="center"/>
              <w:rPr>
                <w:rFonts w:asciiTheme="minorEastAsia" w:hAnsiTheme="minorEastAsia" w:cstheme="minorEastAsia"/>
                <w:sz w:val="18"/>
                <w:szCs w:val="18"/>
              </w:rPr>
            </w:pPr>
          </w:p>
        </w:tc>
        <w:tc>
          <w:tcPr>
            <w:tcW w:w="671" w:type="dxa"/>
            <w:vMerge w:val="restart"/>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作业活动或设备设施</w:t>
            </w:r>
          </w:p>
        </w:tc>
        <w:tc>
          <w:tcPr>
            <w:tcW w:w="671" w:type="dxa"/>
            <w:vMerge w:val="restart"/>
            <w:vAlign w:val="center"/>
          </w:tcPr>
          <w:p w:rsidR="00B31515" w:rsidRDefault="00B31515">
            <w:pPr>
              <w:jc w:val="center"/>
              <w:rPr>
                <w:rFonts w:asciiTheme="minorEastAsia" w:hAnsiTheme="minorEastAsia" w:cstheme="minorEastAsia"/>
                <w:sz w:val="18"/>
                <w:szCs w:val="18"/>
              </w:rPr>
            </w:pPr>
          </w:p>
        </w:tc>
        <w:tc>
          <w:tcPr>
            <w:tcW w:w="671" w:type="dxa"/>
            <w:vMerge w:val="restart"/>
            <w:vAlign w:val="center"/>
          </w:tcPr>
          <w:p w:rsidR="00B31515" w:rsidRDefault="00B31515">
            <w:pPr>
              <w:jc w:val="center"/>
              <w:rPr>
                <w:rFonts w:asciiTheme="minorEastAsia" w:hAnsiTheme="minorEastAsia" w:cstheme="minorEastAsia"/>
                <w:sz w:val="18"/>
                <w:szCs w:val="18"/>
              </w:rPr>
            </w:pPr>
          </w:p>
        </w:tc>
        <w:tc>
          <w:tcPr>
            <w:tcW w:w="681" w:type="dxa"/>
            <w:vMerge w:val="restart"/>
            <w:vAlign w:val="center"/>
          </w:tcPr>
          <w:p w:rsidR="00B31515" w:rsidRDefault="00B31515">
            <w:pPr>
              <w:jc w:val="center"/>
              <w:rPr>
                <w:rFonts w:asciiTheme="minorEastAsia" w:hAnsiTheme="minorEastAsia" w:cstheme="minorEastAsia"/>
                <w:sz w:val="18"/>
                <w:szCs w:val="18"/>
              </w:rPr>
            </w:pPr>
          </w:p>
        </w:tc>
        <w:tc>
          <w:tcPr>
            <w:tcW w:w="670" w:type="dxa"/>
            <w:vMerge w:val="restart"/>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1</w:t>
            </w:r>
          </w:p>
        </w:tc>
        <w:tc>
          <w:tcPr>
            <w:tcW w:w="670" w:type="dxa"/>
            <w:vMerge w:val="restart"/>
            <w:vAlign w:val="center"/>
          </w:tcPr>
          <w:p w:rsidR="00B31515" w:rsidRDefault="00B31515">
            <w:pPr>
              <w:jc w:val="center"/>
              <w:rPr>
                <w:rFonts w:asciiTheme="minorEastAsia" w:hAnsiTheme="minorEastAsia" w:cstheme="minorEastAsia"/>
                <w:sz w:val="18"/>
                <w:szCs w:val="18"/>
              </w:rPr>
            </w:pPr>
          </w:p>
        </w:tc>
        <w:tc>
          <w:tcPr>
            <w:tcW w:w="1028" w:type="dxa"/>
            <w:tcBorders>
              <w:bottom w:val="single" w:sz="4" w:space="0" w:color="auto"/>
            </w:tcBorders>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工程技术</w:t>
            </w:r>
          </w:p>
        </w:tc>
        <w:tc>
          <w:tcPr>
            <w:tcW w:w="485" w:type="dxa"/>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22" w:type="dxa"/>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22" w:type="dxa"/>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38" w:type="dxa"/>
            <w:tcBorders>
              <w:bottom w:val="single" w:sz="4" w:space="0" w:color="auto"/>
            </w:tcBorders>
            <w:vAlign w:val="center"/>
          </w:tcPr>
          <w:p w:rsidR="00B31515" w:rsidRDefault="00B31515">
            <w:pPr>
              <w:jc w:val="center"/>
              <w:rPr>
                <w:rFonts w:asciiTheme="minorEastAsia" w:hAnsiTheme="minorEastAsia" w:cstheme="minorEastAsia"/>
                <w:sz w:val="18"/>
                <w:szCs w:val="18"/>
              </w:rPr>
            </w:pPr>
          </w:p>
        </w:tc>
      </w:tr>
      <w:tr w:rsidR="00B31515">
        <w:trPr>
          <w:trHeight w:val="288"/>
        </w:trPr>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81" w:type="dxa"/>
            <w:vMerge/>
            <w:vAlign w:val="center"/>
          </w:tcPr>
          <w:p w:rsidR="00B31515" w:rsidRDefault="00B31515">
            <w:pPr>
              <w:jc w:val="center"/>
              <w:rPr>
                <w:rFonts w:asciiTheme="minorEastAsia" w:hAnsiTheme="minorEastAsia" w:cstheme="minorEastAsia"/>
                <w:sz w:val="18"/>
                <w:szCs w:val="18"/>
              </w:rPr>
            </w:pPr>
          </w:p>
        </w:tc>
        <w:tc>
          <w:tcPr>
            <w:tcW w:w="670" w:type="dxa"/>
            <w:vMerge/>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vMerge/>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1028" w:type="dxa"/>
            <w:tcBorders>
              <w:top w:val="single" w:sz="4" w:space="0" w:color="auto"/>
              <w:bottom w:val="single" w:sz="4" w:space="0" w:color="auto"/>
            </w:tcBorders>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管理措施</w:t>
            </w:r>
          </w:p>
        </w:tc>
        <w:tc>
          <w:tcPr>
            <w:tcW w:w="485"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2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2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38"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r>
      <w:tr w:rsidR="00B31515">
        <w:trPr>
          <w:trHeight w:val="131"/>
        </w:trPr>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81" w:type="dxa"/>
            <w:vMerge/>
            <w:vAlign w:val="center"/>
          </w:tcPr>
          <w:p w:rsidR="00B31515" w:rsidRDefault="00B31515">
            <w:pPr>
              <w:jc w:val="center"/>
              <w:rPr>
                <w:rFonts w:asciiTheme="minorEastAsia" w:hAnsiTheme="minorEastAsia" w:cstheme="minorEastAsia"/>
                <w:sz w:val="18"/>
                <w:szCs w:val="18"/>
              </w:rPr>
            </w:pPr>
          </w:p>
        </w:tc>
        <w:tc>
          <w:tcPr>
            <w:tcW w:w="670" w:type="dxa"/>
            <w:vMerge/>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vMerge/>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1028" w:type="dxa"/>
            <w:tcBorders>
              <w:top w:val="single" w:sz="4" w:space="0" w:color="auto"/>
              <w:bottom w:val="single" w:sz="4" w:space="0" w:color="auto"/>
            </w:tcBorders>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培训教育</w:t>
            </w:r>
          </w:p>
        </w:tc>
        <w:tc>
          <w:tcPr>
            <w:tcW w:w="485"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2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2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38"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r>
      <w:tr w:rsidR="00B31515">
        <w:trPr>
          <w:trHeight w:val="169"/>
        </w:trPr>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81" w:type="dxa"/>
            <w:vMerge/>
            <w:vAlign w:val="center"/>
          </w:tcPr>
          <w:p w:rsidR="00B31515" w:rsidRDefault="00B31515">
            <w:pPr>
              <w:jc w:val="center"/>
              <w:rPr>
                <w:rFonts w:asciiTheme="minorEastAsia" w:hAnsiTheme="minorEastAsia" w:cstheme="minorEastAsia"/>
                <w:sz w:val="18"/>
                <w:szCs w:val="18"/>
              </w:rPr>
            </w:pPr>
          </w:p>
        </w:tc>
        <w:tc>
          <w:tcPr>
            <w:tcW w:w="670" w:type="dxa"/>
            <w:vMerge/>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vMerge/>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1028" w:type="dxa"/>
            <w:tcBorders>
              <w:top w:val="single" w:sz="4" w:space="0" w:color="auto"/>
              <w:bottom w:val="single" w:sz="4" w:space="0" w:color="auto"/>
            </w:tcBorders>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个体防护</w:t>
            </w:r>
          </w:p>
        </w:tc>
        <w:tc>
          <w:tcPr>
            <w:tcW w:w="485"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2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2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38"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r>
      <w:tr w:rsidR="00B31515">
        <w:trPr>
          <w:trHeight w:val="153"/>
        </w:trPr>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81" w:type="dxa"/>
            <w:vMerge/>
            <w:vAlign w:val="center"/>
          </w:tcPr>
          <w:p w:rsidR="00B31515" w:rsidRDefault="00B31515">
            <w:pPr>
              <w:jc w:val="center"/>
              <w:rPr>
                <w:rFonts w:asciiTheme="minorEastAsia" w:hAnsiTheme="minorEastAsia" w:cstheme="minorEastAsia"/>
                <w:sz w:val="18"/>
                <w:szCs w:val="18"/>
              </w:rPr>
            </w:pPr>
          </w:p>
        </w:tc>
        <w:tc>
          <w:tcPr>
            <w:tcW w:w="670" w:type="dxa"/>
            <w:vMerge/>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vMerge/>
            <w:tcBorders>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1028" w:type="dxa"/>
            <w:tcBorders>
              <w:top w:val="single" w:sz="4" w:space="0" w:color="auto"/>
              <w:bottom w:val="single" w:sz="4" w:space="0" w:color="auto"/>
            </w:tcBorders>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应急处置</w:t>
            </w:r>
          </w:p>
        </w:tc>
        <w:tc>
          <w:tcPr>
            <w:tcW w:w="485"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2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2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38"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r>
      <w:tr w:rsidR="00B31515">
        <w:trPr>
          <w:trHeight w:val="585"/>
        </w:trPr>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81" w:type="dxa"/>
            <w:vMerge/>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2</w:t>
            </w: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1028"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485"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2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2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38"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r>
      <w:tr w:rsidR="00B31515">
        <w:trPr>
          <w:trHeight w:val="282"/>
        </w:trPr>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71" w:type="dxa"/>
            <w:vMerge/>
            <w:vAlign w:val="center"/>
          </w:tcPr>
          <w:p w:rsidR="00B31515" w:rsidRDefault="00B31515">
            <w:pPr>
              <w:jc w:val="center"/>
              <w:rPr>
                <w:rFonts w:asciiTheme="minorEastAsia" w:hAnsiTheme="minorEastAsia" w:cstheme="minorEastAsia"/>
                <w:sz w:val="18"/>
                <w:szCs w:val="18"/>
              </w:rPr>
            </w:pPr>
          </w:p>
        </w:tc>
        <w:tc>
          <w:tcPr>
            <w:tcW w:w="681" w:type="dxa"/>
            <w:vMerge/>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w:t>
            </w:r>
          </w:p>
        </w:tc>
        <w:tc>
          <w:tcPr>
            <w:tcW w:w="670" w:type="dxa"/>
            <w:tcBorders>
              <w:top w:val="single" w:sz="4" w:space="0" w:color="auto"/>
              <w:bottom w:val="single" w:sz="4" w:space="0" w:color="auto"/>
            </w:tcBorders>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w:t>
            </w:r>
          </w:p>
        </w:tc>
        <w:tc>
          <w:tcPr>
            <w:tcW w:w="1028" w:type="dxa"/>
            <w:tcBorders>
              <w:top w:val="single" w:sz="4" w:space="0" w:color="auto"/>
              <w:bottom w:val="single" w:sz="4" w:space="0" w:color="auto"/>
            </w:tcBorders>
            <w:vAlign w:val="center"/>
          </w:tcPr>
          <w:p w:rsidR="00B31515" w:rsidRDefault="000C6CAF">
            <w:pPr>
              <w:jc w:val="center"/>
              <w:rPr>
                <w:rFonts w:asciiTheme="minorEastAsia" w:hAnsiTheme="minorEastAsia" w:cstheme="minorEastAsia"/>
                <w:sz w:val="18"/>
                <w:szCs w:val="18"/>
              </w:rPr>
            </w:pPr>
            <w:r>
              <w:rPr>
                <w:rFonts w:asciiTheme="minorEastAsia" w:hAnsiTheme="minorEastAsia" w:cstheme="minorEastAsia" w:hint="eastAsia"/>
                <w:sz w:val="18"/>
                <w:szCs w:val="18"/>
              </w:rPr>
              <w:t>.....</w:t>
            </w:r>
          </w:p>
        </w:tc>
        <w:tc>
          <w:tcPr>
            <w:tcW w:w="485"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2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2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tcPr>
          <w:p w:rsidR="00B31515" w:rsidRDefault="00B31515">
            <w:pPr>
              <w:jc w:val="center"/>
              <w:rPr>
                <w:rFonts w:asciiTheme="minorEastAsia" w:hAnsiTheme="minorEastAsia" w:cstheme="minorEastAsia"/>
                <w:sz w:val="18"/>
                <w:szCs w:val="18"/>
              </w:rPr>
            </w:pPr>
          </w:p>
        </w:tc>
        <w:tc>
          <w:tcPr>
            <w:tcW w:w="67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c>
          <w:tcPr>
            <w:tcW w:w="638"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18"/>
                <w:szCs w:val="18"/>
              </w:rPr>
            </w:pPr>
          </w:p>
        </w:tc>
      </w:tr>
    </w:tbl>
    <w:p w:rsidR="00B31515" w:rsidRDefault="000C6CAF">
      <w:pPr>
        <w:pStyle w:val="a3"/>
        <w:numPr>
          <w:ilvl w:val="0"/>
          <w:numId w:val="0"/>
        </w:numPr>
        <w:rPr>
          <w:rFonts w:asciiTheme="minorEastAsia" w:eastAsiaTheme="minorEastAsia" w:hAnsiTheme="minorEastAsia" w:cstheme="minorEastAsia"/>
        </w:rPr>
      </w:pPr>
      <w:r>
        <w:rPr>
          <w:rFonts w:asciiTheme="minorEastAsia" w:eastAsiaTheme="minorEastAsia" w:hAnsiTheme="minorEastAsia" w:cstheme="minorEastAsia" w:hint="eastAsia"/>
        </w:rPr>
        <w:t>注：</w:t>
      </w:r>
      <w:r>
        <w:rPr>
          <w:rFonts w:asciiTheme="minorEastAsia" w:eastAsiaTheme="minorEastAsia" w:hAnsiTheme="minorEastAsia" w:cstheme="minorEastAsia" w:hint="eastAsia"/>
        </w:rPr>
        <w:t>1.</w:t>
      </w:r>
      <w:r>
        <w:rPr>
          <w:rFonts w:asciiTheme="minorEastAsia" w:eastAsiaTheme="minorEastAsia" w:hAnsiTheme="minorEastAsia" w:cstheme="minorEastAsia" w:hint="eastAsia"/>
        </w:rPr>
        <w:t>排查类型主要包括日常隐患排查、综合性隐患排查、专业或专项隐患排查、季节性隐患排查等。</w:t>
      </w:r>
    </w:p>
    <w:p w:rsidR="00B31515" w:rsidRDefault="000C6CAF">
      <w:pPr>
        <w:pStyle w:val="a3"/>
        <w:numPr>
          <w:ilvl w:val="0"/>
          <w:numId w:val="0"/>
        </w:numPr>
        <w:rPr>
          <w:rFonts w:asciiTheme="minorEastAsia" w:eastAsiaTheme="minorEastAsia" w:hAnsiTheme="minorEastAsia" w:cstheme="minorEastAsia"/>
        </w:rPr>
      </w:pPr>
      <w:r>
        <w:rPr>
          <w:rFonts w:asciiTheme="minorEastAsia" w:eastAsiaTheme="minorEastAsia" w:hAnsiTheme="minorEastAsia" w:cstheme="minorEastAsia" w:hint="eastAsia"/>
        </w:rPr>
        <w:t>2.</w:t>
      </w:r>
      <w:r>
        <w:rPr>
          <w:rFonts w:asciiTheme="minorEastAsia" w:eastAsiaTheme="minorEastAsia" w:hAnsiTheme="minorEastAsia" w:cstheme="minorEastAsia" w:hint="eastAsia"/>
        </w:rPr>
        <w:t>组织级别一般包括公司级、公司级、车间级、班组级，也可结合本单位机构设置情况对组织级别进行调整。</w:t>
      </w:r>
    </w:p>
    <w:p w:rsidR="00B31515" w:rsidRDefault="000C6CAF">
      <w:pPr>
        <w:pStyle w:val="ab"/>
        <w:ind w:firstLineChars="0" w:firstLine="0"/>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3.</w:t>
      </w:r>
      <w:r>
        <w:rPr>
          <w:rFonts w:asciiTheme="minorEastAsia" w:eastAsiaTheme="minorEastAsia" w:hAnsiTheme="minorEastAsia" w:cstheme="minorEastAsia" w:hint="eastAsia"/>
          <w:sz w:val="18"/>
          <w:szCs w:val="18"/>
        </w:rPr>
        <w:t>根据排查类型、排查周期、组织级别对排查内容与排查标准进行勾选。</w:t>
      </w:r>
    </w:p>
    <w:p w:rsidR="00B31515" w:rsidRDefault="00B31515">
      <w:pPr>
        <w:rPr>
          <w:rFonts w:asciiTheme="minorEastAsia" w:hAnsiTheme="minorEastAsia" w:cstheme="minorEastAsia"/>
          <w:b/>
          <w:bCs/>
          <w:kern w:val="44"/>
          <w:sz w:val="32"/>
          <w:szCs w:val="32"/>
        </w:rPr>
      </w:pPr>
    </w:p>
    <w:p w:rsidR="00B31515" w:rsidRDefault="00B31515">
      <w:pPr>
        <w:rPr>
          <w:rFonts w:asciiTheme="minorEastAsia" w:hAnsiTheme="minorEastAsia" w:cstheme="minorEastAsia"/>
          <w:b/>
          <w:bCs/>
          <w:kern w:val="44"/>
          <w:sz w:val="32"/>
          <w:szCs w:val="32"/>
        </w:rPr>
      </w:pPr>
    </w:p>
    <w:p w:rsidR="00B31515" w:rsidRDefault="00B31515">
      <w:pPr>
        <w:rPr>
          <w:rFonts w:asciiTheme="minorEastAsia" w:hAnsiTheme="minorEastAsia" w:cstheme="minorEastAsia"/>
          <w:b/>
          <w:bCs/>
          <w:kern w:val="44"/>
          <w:sz w:val="32"/>
          <w:szCs w:val="32"/>
        </w:rPr>
      </w:pPr>
    </w:p>
    <w:p w:rsidR="00B31515" w:rsidRDefault="00B31515">
      <w:pPr>
        <w:rPr>
          <w:rFonts w:asciiTheme="minorEastAsia" w:hAnsiTheme="minorEastAsia" w:cstheme="minorEastAsia"/>
          <w:b/>
          <w:bCs/>
          <w:kern w:val="44"/>
          <w:sz w:val="32"/>
          <w:szCs w:val="32"/>
        </w:rPr>
      </w:pPr>
    </w:p>
    <w:p w:rsidR="00B31515" w:rsidRDefault="000C6CAF">
      <w:pPr>
        <w:rPr>
          <w:rFonts w:asciiTheme="minorEastAsia" w:hAnsiTheme="minorEastAsia" w:cstheme="minorEastAsia"/>
          <w:b/>
          <w:bCs/>
          <w:kern w:val="44"/>
          <w:sz w:val="32"/>
          <w:szCs w:val="32"/>
        </w:rPr>
      </w:pPr>
      <w:bookmarkStart w:id="64" w:name="_Toc24270"/>
      <w:bookmarkStart w:id="65" w:name="_Toc25389"/>
      <w:r>
        <w:rPr>
          <w:rFonts w:asciiTheme="minorEastAsia" w:hAnsiTheme="minorEastAsia" w:cstheme="minorEastAsia" w:hint="eastAsia"/>
          <w:b/>
          <w:bCs/>
          <w:kern w:val="44"/>
          <w:sz w:val="32"/>
          <w:szCs w:val="32"/>
        </w:rPr>
        <w:lastRenderedPageBreak/>
        <w:t>附录</w:t>
      </w:r>
      <w:r>
        <w:rPr>
          <w:rFonts w:asciiTheme="minorEastAsia" w:hAnsiTheme="minorEastAsia" w:cstheme="minorEastAsia" w:hint="eastAsia"/>
          <w:b/>
          <w:bCs/>
          <w:kern w:val="44"/>
          <w:sz w:val="32"/>
          <w:szCs w:val="32"/>
        </w:rPr>
        <w:t>2</w:t>
      </w:r>
      <w:hyperlink r:id="rId16" w:history="1">
        <w:r>
          <w:rPr>
            <w:rFonts w:asciiTheme="minorEastAsia" w:hAnsiTheme="minorEastAsia" w:cstheme="minorEastAsia" w:hint="eastAsia"/>
            <w:b/>
            <w:bCs/>
            <w:kern w:val="44"/>
            <w:sz w:val="32"/>
            <w:szCs w:val="32"/>
          </w:rPr>
          <w:t>基础管理类隐患排查清单</w:t>
        </w:r>
      </w:hyperlink>
      <w:bookmarkEnd w:id="64"/>
      <w:bookmarkEnd w:id="65"/>
    </w:p>
    <w:tbl>
      <w:tblPr>
        <w:tblW w:w="13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0"/>
        <w:gridCol w:w="1841"/>
        <w:gridCol w:w="1806"/>
        <w:gridCol w:w="1241"/>
        <w:gridCol w:w="1236"/>
        <w:gridCol w:w="826"/>
        <w:gridCol w:w="1236"/>
        <w:gridCol w:w="1233"/>
        <w:gridCol w:w="619"/>
        <w:gridCol w:w="1028"/>
        <w:gridCol w:w="1058"/>
        <w:gridCol w:w="686"/>
      </w:tblGrid>
      <w:tr w:rsidR="00B31515">
        <w:trPr>
          <w:trHeight w:val="829"/>
        </w:trPr>
        <w:tc>
          <w:tcPr>
            <w:tcW w:w="650" w:type="dxa"/>
            <w:vMerge w:val="restart"/>
            <w:tcBorders>
              <w:bottom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序号</w:t>
            </w:r>
          </w:p>
        </w:tc>
        <w:tc>
          <w:tcPr>
            <w:tcW w:w="1841" w:type="dxa"/>
            <w:vMerge w:val="restart"/>
            <w:tcBorders>
              <w:bottom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排查项目</w:t>
            </w:r>
          </w:p>
        </w:tc>
        <w:tc>
          <w:tcPr>
            <w:tcW w:w="1806" w:type="dxa"/>
            <w:vMerge w:val="restart"/>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排查内容与排查标准</w:t>
            </w:r>
          </w:p>
        </w:tc>
        <w:tc>
          <w:tcPr>
            <w:tcW w:w="3303" w:type="dxa"/>
            <w:gridSpan w:val="3"/>
            <w:tcBorders>
              <w:bottom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专业性检查</w:t>
            </w:r>
          </w:p>
        </w:tc>
        <w:tc>
          <w:tcPr>
            <w:tcW w:w="3088" w:type="dxa"/>
            <w:gridSpan w:val="3"/>
            <w:tcBorders>
              <w:bottom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综合性检查</w:t>
            </w:r>
          </w:p>
        </w:tc>
        <w:tc>
          <w:tcPr>
            <w:tcW w:w="2772" w:type="dxa"/>
            <w:gridSpan w:val="3"/>
            <w:tcBorders>
              <w:bottom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w:t>
            </w:r>
          </w:p>
        </w:tc>
      </w:tr>
      <w:tr w:rsidR="00B31515">
        <w:trPr>
          <w:trHeight w:val="829"/>
        </w:trPr>
        <w:tc>
          <w:tcPr>
            <w:tcW w:w="650" w:type="dxa"/>
            <w:vMerge/>
            <w:tcBorders>
              <w:bottom w:val="single" w:sz="4" w:space="0" w:color="auto"/>
            </w:tcBorders>
            <w:vAlign w:val="center"/>
          </w:tcPr>
          <w:p w:rsidR="00B31515" w:rsidRDefault="00B31515">
            <w:pPr>
              <w:jc w:val="center"/>
              <w:rPr>
                <w:rFonts w:asciiTheme="minorEastAsia" w:hAnsiTheme="minorEastAsia" w:cstheme="minorEastAsia"/>
                <w:szCs w:val="21"/>
              </w:rPr>
            </w:pPr>
          </w:p>
        </w:tc>
        <w:tc>
          <w:tcPr>
            <w:tcW w:w="1841" w:type="dxa"/>
            <w:vMerge/>
            <w:tcBorders>
              <w:bottom w:val="single" w:sz="4" w:space="0" w:color="auto"/>
            </w:tcBorders>
            <w:vAlign w:val="center"/>
          </w:tcPr>
          <w:p w:rsidR="00B31515" w:rsidRDefault="00B31515">
            <w:pPr>
              <w:jc w:val="center"/>
              <w:rPr>
                <w:rFonts w:asciiTheme="minorEastAsia" w:hAnsiTheme="minorEastAsia" w:cstheme="minorEastAsia"/>
                <w:szCs w:val="21"/>
              </w:rPr>
            </w:pPr>
          </w:p>
        </w:tc>
        <w:tc>
          <w:tcPr>
            <w:tcW w:w="1806" w:type="dxa"/>
            <w:vMerge/>
            <w:vAlign w:val="center"/>
          </w:tcPr>
          <w:p w:rsidR="00B31515" w:rsidRDefault="00B31515">
            <w:pPr>
              <w:jc w:val="center"/>
              <w:rPr>
                <w:rFonts w:asciiTheme="minorEastAsia" w:hAnsiTheme="minorEastAsia" w:cstheme="minorEastAsia"/>
                <w:szCs w:val="21"/>
              </w:rPr>
            </w:pPr>
          </w:p>
        </w:tc>
        <w:tc>
          <w:tcPr>
            <w:tcW w:w="1241" w:type="dxa"/>
            <w:tcBorders>
              <w:bottom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设备</w:t>
            </w:r>
          </w:p>
        </w:tc>
        <w:tc>
          <w:tcPr>
            <w:tcW w:w="1236" w:type="dxa"/>
            <w:tcBorders>
              <w:bottom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电气</w:t>
            </w:r>
          </w:p>
        </w:tc>
        <w:tc>
          <w:tcPr>
            <w:tcW w:w="826" w:type="dxa"/>
            <w:tcBorders>
              <w:bottom w:val="single" w:sz="4" w:space="0" w:color="auto"/>
            </w:tcBorders>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w:t>
            </w:r>
          </w:p>
        </w:tc>
        <w:tc>
          <w:tcPr>
            <w:tcW w:w="1236" w:type="dxa"/>
            <w:tcBorders>
              <w:bottom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车间级</w:t>
            </w:r>
          </w:p>
        </w:tc>
        <w:tc>
          <w:tcPr>
            <w:tcW w:w="1233" w:type="dxa"/>
            <w:tcBorders>
              <w:bottom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公司级</w:t>
            </w:r>
          </w:p>
        </w:tc>
        <w:tc>
          <w:tcPr>
            <w:tcW w:w="619" w:type="dxa"/>
            <w:tcBorders>
              <w:bottom w:val="single" w:sz="4" w:space="0" w:color="auto"/>
            </w:tcBorders>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w:t>
            </w:r>
          </w:p>
        </w:tc>
        <w:tc>
          <w:tcPr>
            <w:tcW w:w="1028" w:type="dxa"/>
            <w:tcBorders>
              <w:bottom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w:t>
            </w:r>
          </w:p>
        </w:tc>
        <w:tc>
          <w:tcPr>
            <w:tcW w:w="1058" w:type="dxa"/>
            <w:tcBorders>
              <w:bottom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w:t>
            </w:r>
          </w:p>
        </w:tc>
        <w:tc>
          <w:tcPr>
            <w:tcW w:w="686" w:type="dxa"/>
            <w:tcBorders>
              <w:bottom w:val="single" w:sz="4" w:space="0" w:color="auto"/>
            </w:tcBorders>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w:t>
            </w:r>
          </w:p>
        </w:tc>
      </w:tr>
      <w:tr w:rsidR="00B31515">
        <w:trPr>
          <w:trHeight w:val="659"/>
        </w:trPr>
        <w:tc>
          <w:tcPr>
            <w:tcW w:w="650" w:type="dxa"/>
            <w:vMerge/>
          </w:tcPr>
          <w:p w:rsidR="00B31515" w:rsidRDefault="00B31515">
            <w:pPr>
              <w:jc w:val="center"/>
              <w:rPr>
                <w:rFonts w:asciiTheme="minorEastAsia" w:hAnsiTheme="minorEastAsia" w:cstheme="minorEastAsia"/>
                <w:szCs w:val="21"/>
              </w:rPr>
            </w:pPr>
          </w:p>
        </w:tc>
        <w:tc>
          <w:tcPr>
            <w:tcW w:w="1841" w:type="dxa"/>
            <w:vMerge/>
          </w:tcPr>
          <w:p w:rsidR="00B31515" w:rsidRDefault="00B31515">
            <w:pPr>
              <w:jc w:val="center"/>
              <w:rPr>
                <w:rFonts w:asciiTheme="minorEastAsia" w:hAnsiTheme="minorEastAsia" w:cstheme="minorEastAsia"/>
                <w:szCs w:val="21"/>
              </w:rPr>
            </w:pPr>
          </w:p>
        </w:tc>
        <w:tc>
          <w:tcPr>
            <w:tcW w:w="1806" w:type="dxa"/>
            <w:vMerge/>
          </w:tcPr>
          <w:p w:rsidR="00B31515" w:rsidRDefault="00B31515">
            <w:pPr>
              <w:jc w:val="center"/>
              <w:rPr>
                <w:rFonts w:asciiTheme="minorEastAsia" w:hAnsiTheme="minorEastAsia" w:cstheme="minorEastAsia"/>
                <w:szCs w:val="21"/>
              </w:rPr>
            </w:pPr>
          </w:p>
        </w:tc>
        <w:tc>
          <w:tcPr>
            <w:tcW w:w="1241"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排查周期</w:t>
            </w:r>
            <w:r>
              <w:rPr>
                <w:rFonts w:asciiTheme="minorEastAsia" w:hAnsiTheme="minorEastAsia" w:cstheme="minorEastAsia" w:hint="eastAsia"/>
                <w:sz w:val="18"/>
                <w:szCs w:val="18"/>
              </w:rPr>
              <w:t>/</w:t>
            </w:r>
            <w:r>
              <w:rPr>
                <w:rFonts w:asciiTheme="minorEastAsia" w:hAnsiTheme="minorEastAsia" w:cstheme="minorEastAsia" w:hint="eastAsia"/>
                <w:sz w:val="18"/>
                <w:szCs w:val="18"/>
              </w:rPr>
              <w:t>组织级别</w:t>
            </w:r>
          </w:p>
        </w:tc>
        <w:tc>
          <w:tcPr>
            <w:tcW w:w="1236"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排查周期</w:t>
            </w:r>
            <w:r>
              <w:rPr>
                <w:rFonts w:asciiTheme="minorEastAsia" w:hAnsiTheme="minorEastAsia" w:cstheme="minorEastAsia" w:hint="eastAsia"/>
                <w:sz w:val="18"/>
                <w:szCs w:val="18"/>
              </w:rPr>
              <w:t>/</w:t>
            </w:r>
            <w:r>
              <w:rPr>
                <w:rFonts w:asciiTheme="minorEastAsia" w:hAnsiTheme="minorEastAsia" w:cstheme="minorEastAsia" w:hint="eastAsia"/>
                <w:sz w:val="18"/>
                <w:szCs w:val="18"/>
              </w:rPr>
              <w:t>组织级别</w:t>
            </w:r>
          </w:p>
        </w:tc>
        <w:tc>
          <w:tcPr>
            <w:tcW w:w="826" w:type="dxa"/>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w:t>
            </w:r>
          </w:p>
        </w:tc>
        <w:tc>
          <w:tcPr>
            <w:tcW w:w="1236"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排查周期</w:t>
            </w:r>
            <w:r>
              <w:rPr>
                <w:rFonts w:asciiTheme="minorEastAsia" w:hAnsiTheme="minorEastAsia" w:cstheme="minorEastAsia" w:hint="eastAsia"/>
                <w:sz w:val="18"/>
                <w:szCs w:val="18"/>
              </w:rPr>
              <w:t>/</w:t>
            </w:r>
            <w:r>
              <w:rPr>
                <w:rFonts w:asciiTheme="minorEastAsia" w:hAnsiTheme="minorEastAsia" w:cstheme="minorEastAsia" w:hint="eastAsia"/>
                <w:sz w:val="18"/>
                <w:szCs w:val="18"/>
              </w:rPr>
              <w:t>组织级别</w:t>
            </w:r>
          </w:p>
        </w:tc>
        <w:tc>
          <w:tcPr>
            <w:tcW w:w="1233"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排查周期</w:t>
            </w:r>
            <w:r>
              <w:rPr>
                <w:rFonts w:asciiTheme="minorEastAsia" w:hAnsiTheme="minorEastAsia" w:cstheme="minorEastAsia" w:hint="eastAsia"/>
                <w:sz w:val="18"/>
                <w:szCs w:val="18"/>
              </w:rPr>
              <w:t>/</w:t>
            </w:r>
            <w:r>
              <w:rPr>
                <w:rFonts w:asciiTheme="minorEastAsia" w:hAnsiTheme="minorEastAsia" w:cstheme="minorEastAsia" w:hint="eastAsia"/>
                <w:sz w:val="18"/>
                <w:szCs w:val="18"/>
              </w:rPr>
              <w:t>组织级别</w:t>
            </w:r>
          </w:p>
        </w:tc>
        <w:tc>
          <w:tcPr>
            <w:tcW w:w="619" w:type="dxa"/>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w:t>
            </w:r>
          </w:p>
        </w:tc>
        <w:tc>
          <w:tcPr>
            <w:tcW w:w="1028"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排查周期</w:t>
            </w:r>
            <w:r>
              <w:rPr>
                <w:rFonts w:asciiTheme="minorEastAsia" w:hAnsiTheme="minorEastAsia" w:cstheme="minorEastAsia" w:hint="eastAsia"/>
                <w:sz w:val="18"/>
                <w:szCs w:val="18"/>
              </w:rPr>
              <w:t>/</w:t>
            </w:r>
            <w:r>
              <w:rPr>
                <w:rFonts w:asciiTheme="minorEastAsia" w:hAnsiTheme="minorEastAsia" w:cstheme="minorEastAsia" w:hint="eastAsia"/>
                <w:sz w:val="18"/>
                <w:szCs w:val="18"/>
              </w:rPr>
              <w:t>组织级别</w:t>
            </w:r>
          </w:p>
        </w:tc>
        <w:tc>
          <w:tcPr>
            <w:tcW w:w="1058" w:type="dxa"/>
            <w:vAlign w:val="center"/>
          </w:tcPr>
          <w:p w:rsidR="00B31515" w:rsidRDefault="000C6CAF">
            <w:pPr>
              <w:rPr>
                <w:rFonts w:asciiTheme="minorEastAsia" w:hAnsiTheme="minorEastAsia" w:cstheme="minorEastAsia"/>
                <w:sz w:val="18"/>
                <w:szCs w:val="18"/>
              </w:rPr>
            </w:pPr>
            <w:r>
              <w:rPr>
                <w:rFonts w:asciiTheme="minorEastAsia" w:hAnsiTheme="minorEastAsia" w:cstheme="minorEastAsia" w:hint="eastAsia"/>
                <w:sz w:val="18"/>
                <w:szCs w:val="18"/>
              </w:rPr>
              <w:t>排查周期</w:t>
            </w:r>
            <w:r>
              <w:rPr>
                <w:rFonts w:asciiTheme="minorEastAsia" w:hAnsiTheme="minorEastAsia" w:cstheme="minorEastAsia" w:hint="eastAsia"/>
                <w:sz w:val="18"/>
                <w:szCs w:val="18"/>
              </w:rPr>
              <w:t>/</w:t>
            </w:r>
            <w:r>
              <w:rPr>
                <w:rFonts w:asciiTheme="minorEastAsia" w:hAnsiTheme="minorEastAsia" w:cstheme="minorEastAsia" w:hint="eastAsia"/>
                <w:sz w:val="18"/>
                <w:szCs w:val="18"/>
              </w:rPr>
              <w:t>组织级别</w:t>
            </w:r>
          </w:p>
        </w:tc>
        <w:tc>
          <w:tcPr>
            <w:tcW w:w="686" w:type="dxa"/>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w:t>
            </w:r>
          </w:p>
        </w:tc>
      </w:tr>
      <w:tr w:rsidR="00B31515">
        <w:trPr>
          <w:trHeight w:val="169"/>
        </w:trPr>
        <w:tc>
          <w:tcPr>
            <w:tcW w:w="650" w:type="dxa"/>
            <w:vMerge w:val="restart"/>
          </w:tcPr>
          <w:p w:rsidR="00B31515" w:rsidRDefault="00B31515">
            <w:pPr>
              <w:numPr>
                <w:ilvl w:val="0"/>
                <w:numId w:val="6"/>
              </w:numPr>
              <w:jc w:val="center"/>
              <w:rPr>
                <w:rFonts w:asciiTheme="minorEastAsia" w:hAnsiTheme="minorEastAsia" w:cstheme="minorEastAsia"/>
                <w:szCs w:val="21"/>
              </w:rPr>
            </w:pPr>
          </w:p>
        </w:tc>
        <w:tc>
          <w:tcPr>
            <w:tcW w:w="1841" w:type="dxa"/>
            <w:vMerge w:val="restart"/>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生产经营单位资质证照</w:t>
            </w:r>
          </w:p>
        </w:tc>
        <w:tc>
          <w:tcPr>
            <w:tcW w:w="1806" w:type="dxa"/>
            <w:vAlign w:val="center"/>
          </w:tcPr>
          <w:p w:rsidR="00B31515" w:rsidRDefault="00B31515">
            <w:pPr>
              <w:jc w:val="left"/>
              <w:rPr>
                <w:rFonts w:asciiTheme="minorEastAsia" w:hAnsiTheme="minorEastAsia" w:cstheme="minorEastAsia"/>
                <w:szCs w:val="21"/>
              </w:rPr>
            </w:pPr>
          </w:p>
        </w:tc>
        <w:tc>
          <w:tcPr>
            <w:tcW w:w="1241" w:type="dxa"/>
          </w:tcPr>
          <w:p w:rsidR="00B31515" w:rsidRDefault="00B31515">
            <w:pPr>
              <w:jc w:val="center"/>
              <w:rPr>
                <w:rFonts w:asciiTheme="minorEastAsia" w:hAnsiTheme="minorEastAsia" w:cstheme="minorEastAsia"/>
                <w:szCs w:val="21"/>
              </w:rPr>
            </w:pPr>
          </w:p>
        </w:tc>
        <w:tc>
          <w:tcPr>
            <w:tcW w:w="1236" w:type="dxa"/>
          </w:tcPr>
          <w:p w:rsidR="00B31515" w:rsidRDefault="00B31515">
            <w:pPr>
              <w:jc w:val="center"/>
              <w:rPr>
                <w:rFonts w:asciiTheme="minorEastAsia" w:hAnsiTheme="minorEastAsia" w:cstheme="minorEastAsia"/>
                <w:szCs w:val="21"/>
              </w:rPr>
            </w:pPr>
          </w:p>
        </w:tc>
        <w:tc>
          <w:tcPr>
            <w:tcW w:w="826" w:type="dxa"/>
          </w:tcPr>
          <w:p w:rsidR="00B31515" w:rsidRDefault="00B31515">
            <w:pPr>
              <w:jc w:val="center"/>
              <w:rPr>
                <w:rFonts w:asciiTheme="minorEastAsia" w:hAnsiTheme="minorEastAsia" w:cstheme="minorEastAsia"/>
                <w:szCs w:val="21"/>
              </w:rPr>
            </w:pPr>
          </w:p>
        </w:tc>
        <w:tc>
          <w:tcPr>
            <w:tcW w:w="1236" w:type="dxa"/>
          </w:tcPr>
          <w:p w:rsidR="00B31515" w:rsidRDefault="00B31515">
            <w:pPr>
              <w:jc w:val="center"/>
              <w:rPr>
                <w:rFonts w:asciiTheme="minorEastAsia" w:hAnsiTheme="minorEastAsia" w:cstheme="minorEastAsia"/>
                <w:szCs w:val="21"/>
              </w:rPr>
            </w:pPr>
          </w:p>
        </w:tc>
        <w:tc>
          <w:tcPr>
            <w:tcW w:w="1233" w:type="dxa"/>
          </w:tcPr>
          <w:p w:rsidR="00B31515" w:rsidRDefault="00B31515">
            <w:pPr>
              <w:jc w:val="center"/>
              <w:rPr>
                <w:rFonts w:asciiTheme="minorEastAsia" w:hAnsiTheme="minorEastAsia" w:cstheme="minorEastAsia"/>
                <w:szCs w:val="21"/>
              </w:rPr>
            </w:pPr>
          </w:p>
        </w:tc>
        <w:tc>
          <w:tcPr>
            <w:tcW w:w="619" w:type="dxa"/>
          </w:tcPr>
          <w:p w:rsidR="00B31515" w:rsidRDefault="00B31515">
            <w:pPr>
              <w:jc w:val="center"/>
              <w:rPr>
                <w:rFonts w:asciiTheme="minorEastAsia" w:hAnsiTheme="minorEastAsia" w:cstheme="minorEastAsia"/>
                <w:szCs w:val="21"/>
              </w:rPr>
            </w:pPr>
          </w:p>
        </w:tc>
        <w:tc>
          <w:tcPr>
            <w:tcW w:w="1028" w:type="dxa"/>
          </w:tcPr>
          <w:p w:rsidR="00B31515" w:rsidRDefault="00B31515">
            <w:pPr>
              <w:jc w:val="center"/>
              <w:rPr>
                <w:rFonts w:asciiTheme="minorEastAsia" w:hAnsiTheme="minorEastAsia" w:cstheme="minorEastAsia"/>
                <w:szCs w:val="21"/>
              </w:rPr>
            </w:pPr>
          </w:p>
        </w:tc>
        <w:tc>
          <w:tcPr>
            <w:tcW w:w="1058" w:type="dxa"/>
          </w:tcPr>
          <w:p w:rsidR="00B31515" w:rsidRDefault="00B31515">
            <w:pPr>
              <w:jc w:val="center"/>
              <w:rPr>
                <w:rFonts w:asciiTheme="minorEastAsia" w:hAnsiTheme="minorEastAsia" w:cstheme="minorEastAsia"/>
                <w:szCs w:val="21"/>
              </w:rPr>
            </w:pPr>
          </w:p>
        </w:tc>
        <w:tc>
          <w:tcPr>
            <w:tcW w:w="686" w:type="dxa"/>
          </w:tcPr>
          <w:p w:rsidR="00B31515" w:rsidRDefault="00B31515">
            <w:pPr>
              <w:jc w:val="center"/>
              <w:rPr>
                <w:rFonts w:asciiTheme="minorEastAsia" w:hAnsiTheme="minorEastAsia" w:cstheme="minorEastAsia"/>
                <w:szCs w:val="21"/>
              </w:rPr>
            </w:pPr>
          </w:p>
        </w:tc>
      </w:tr>
      <w:tr w:rsidR="00B31515">
        <w:trPr>
          <w:trHeight w:val="270"/>
        </w:trPr>
        <w:tc>
          <w:tcPr>
            <w:tcW w:w="650" w:type="dxa"/>
            <w:vMerge/>
          </w:tcPr>
          <w:p w:rsidR="00B31515" w:rsidRDefault="00B31515">
            <w:pPr>
              <w:numPr>
                <w:ilvl w:val="0"/>
                <w:numId w:val="6"/>
              </w:numPr>
              <w:jc w:val="center"/>
              <w:rPr>
                <w:rFonts w:asciiTheme="minorEastAsia" w:hAnsiTheme="minorEastAsia" w:cstheme="minorEastAsia"/>
                <w:szCs w:val="21"/>
              </w:rPr>
            </w:pPr>
          </w:p>
        </w:tc>
        <w:tc>
          <w:tcPr>
            <w:tcW w:w="1841" w:type="dxa"/>
            <w:vMerge/>
            <w:vAlign w:val="center"/>
          </w:tcPr>
          <w:p w:rsidR="00B31515" w:rsidRDefault="00B31515">
            <w:pPr>
              <w:jc w:val="center"/>
              <w:rPr>
                <w:rFonts w:asciiTheme="minorEastAsia" w:hAnsiTheme="minorEastAsia" w:cstheme="minorEastAsia"/>
                <w:szCs w:val="21"/>
              </w:rPr>
            </w:pPr>
          </w:p>
        </w:tc>
        <w:tc>
          <w:tcPr>
            <w:tcW w:w="1806" w:type="dxa"/>
            <w:vAlign w:val="center"/>
          </w:tcPr>
          <w:p w:rsidR="00B31515" w:rsidRDefault="00B31515">
            <w:pPr>
              <w:jc w:val="left"/>
              <w:rPr>
                <w:rFonts w:asciiTheme="minorEastAsia" w:hAnsiTheme="minorEastAsia" w:cstheme="minorEastAsia"/>
                <w:szCs w:val="21"/>
              </w:rPr>
            </w:pPr>
          </w:p>
        </w:tc>
        <w:tc>
          <w:tcPr>
            <w:tcW w:w="1241" w:type="dxa"/>
          </w:tcPr>
          <w:p w:rsidR="00B31515" w:rsidRDefault="00B31515">
            <w:pPr>
              <w:jc w:val="center"/>
              <w:rPr>
                <w:rFonts w:asciiTheme="minorEastAsia" w:hAnsiTheme="minorEastAsia" w:cstheme="minorEastAsia"/>
                <w:szCs w:val="21"/>
              </w:rPr>
            </w:pPr>
          </w:p>
        </w:tc>
        <w:tc>
          <w:tcPr>
            <w:tcW w:w="1236" w:type="dxa"/>
          </w:tcPr>
          <w:p w:rsidR="00B31515" w:rsidRDefault="00B31515">
            <w:pPr>
              <w:jc w:val="center"/>
              <w:rPr>
                <w:rFonts w:asciiTheme="minorEastAsia" w:hAnsiTheme="minorEastAsia" w:cstheme="minorEastAsia"/>
                <w:szCs w:val="21"/>
              </w:rPr>
            </w:pPr>
          </w:p>
        </w:tc>
        <w:tc>
          <w:tcPr>
            <w:tcW w:w="826" w:type="dxa"/>
          </w:tcPr>
          <w:p w:rsidR="00B31515" w:rsidRDefault="00B31515">
            <w:pPr>
              <w:jc w:val="center"/>
              <w:rPr>
                <w:rFonts w:asciiTheme="minorEastAsia" w:hAnsiTheme="minorEastAsia" w:cstheme="minorEastAsia"/>
                <w:szCs w:val="21"/>
              </w:rPr>
            </w:pPr>
          </w:p>
        </w:tc>
        <w:tc>
          <w:tcPr>
            <w:tcW w:w="1236" w:type="dxa"/>
          </w:tcPr>
          <w:p w:rsidR="00B31515" w:rsidRDefault="00B31515">
            <w:pPr>
              <w:jc w:val="center"/>
              <w:rPr>
                <w:rFonts w:asciiTheme="minorEastAsia" w:hAnsiTheme="minorEastAsia" w:cstheme="minorEastAsia"/>
                <w:szCs w:val="21"/>
              </w:rPr>
            </w:pPr>
          </w:p>
        </w:tc>
        <w:tc>
          <w:tcPr>
            <w:tcW w:w="1233" w:type="dxa"/>
          </w:tcPr>
          <w:p w:rsidR="00B31515" w:rsidRDefault="00B31515">
            <w:pPr>
              <w:jc w:val="center"/>
              <w:rPr>
                <w:rFonts w:asciiTheme="minorEastAsia" w:hAnsiTheme="minorEastAsia" w:cstheme="minorEastAsia"/>
                <w:szCs w:val="21"/>
              </w:rPr>
            </w:pPr>
          </w:p>
        </w:tc>
        <w:tc>
          <w:tcPr>
            <w:tcW w:w="619" w:type="dxa"/>
          </w:tcPr>
          <w:p w:rsidR="00B31515" w:rsidRDefault="00B31515">
            <w:pPr>
              <w:jc w:val="center"/>
              <w:rPr>
                <w:rFonts w:asciiTheme="minorEastAsia" w:hAnsiTheme="minorEastAsia" w:cstheme="minorEastAsia"/>
                <w:szCs w:val="21"/>
              </w:rPr>
            </w:pPr>
          </w:p>
        </w:tc>
        <w:tc>
          <w:tcPr>
            <w:tcW w:w="1028" w:type="dxa"/>
          </w:tcPr>
          <w:p w:rsidR="00B31515" w:rsidRDefault="00B31515">
            <w:pPr>
              <w:jc w:val="center"/>
              <w:rPr>
                <w:rFonts w:asciiTheme="minorEastAsia" w:hAnsiTheme="minorEastAsia" w:cstheme="minorEastAsia"/>
                <w:szCs w:val="21"/>
              </w:rPr>
            </w:pPr>
          </w:p>
        </w:tc>
        <w:tc>
          <w:tcPr>
            <w:tcW w:w="1058" w:type="dxa"/>
          </w:tcPr>
          <w:p w:rsidR="00B31515" w:rsidRDefault="00B31515">
            <w:pPr>
              <w:jc w:val="center"/>
              <w:rPr>
                <w:rFonts w:asciiTheme="minorEastAsia" w:hAnsiTheme="minorEastAsia" w:cstheme="minorEastAsia"/>
                <w:szCs w:val="21"/>
              </w:rPr>
            </w:pPr>
          </w:p>
        </w:tc>
        <w:tc>
          <w:tcPr>
            <w:tcW w:w="686" w:type="dxa"/>
          </w:tcPr>
          <w:p w:rsidR="00B31515" w:rsidRDefault="00B31515">
            <w:pPr>
              <w:jc w:val="center"/>
              <w:rPr>
                <w:rFonts w:asciiTheme="minorEastAsia" w:hAnsiTheme="minorEastAsia" w:cstheme="minorEastAsia"/>
                <w:szCs w:val="21"/>
              </w:rPr>
            </w:pPr>
          </w:p>
        </w:tc>
      </w:tr>
      <w:tr w:rsidR="00B31515">
        <w:trPr>
          <w:trHeight w:val="304"/>
        </w:trPr>
        <w:tc>
          <w:tcPr>
            <w:tcW w:w="650" w:type="dxa"/>
            <w:vMerge/>
          </w:tcPr>
          <w:p w:rsidR="00B31515" w:rsidRDefault="00B31515">
            <w:pPr>
              <w:numPr>
                <w:ilvl w:val="0"/>
                <w:numId w:val="6"/>
              </w:numPr>
              <w:jc w:val="center"/>
              <w:rPr>
                <w:rFonts w:asciiTheme="minorEastAsia" w:hAnsiTheme="minorEastAsia" w:cstheme="minorEastAsia"/>
                <w:szCs w:val="21"/>
              </w:rPr>
            </w:pPr>
          </w:p>
        </w:tc>
        <w:tc>
          <w:tcPr>
            <w:tcW w:w="1841" w:type="dxa"/>
            <w:vMerge/>
            <w:vAlign w:val="center"/>
          </w:tcPr>
          <w:p w:rsidR="00B31515" w:rsidRDefault="00B31515">
            <w:pPr>
              <w:jc w:val="center"/>
              <w:rPr>
                <w:rFonts w:asciiTheme="minorEastAsia" w:hAnsiTheme="minorEastAsia" w:cstheme="minorEastAsia"/>
                <w:szCs w:val="21"/>
              </w:rPr>
            </w:pPr>
          </w:p>
        </w:tc>
        <w:tc>
          <w:tcPr>
            <w:tcW w:w="1806" w:type="dxa"/>
            <w:vAlign w:val="center"/>
          </w:tcPr>
          <w:p w:rsidR="00B31515" w:rsidRDefault="00B31515">
            <w:pPr>
              <w:jc w:val="left"/>
              <w:rPr>
                <w:rFonts w:asciiTheme="minorEastAsia" w:hAnsiTheme="minorEastAsia" w:cstheme="minorEastAsia"/>
                <w:szCs w:val="21"/>
              </w:rPr>
            </w:pPr>
          </w:p>
        </w:tc>
        <w:tc>
          <w:tcPr>
            <w:tcW w:w="1241" w:type="dxa"/>
          </w:tcPr>
          <w:p w:rsidR="00B31515" w:rsidRDefault="00B31515">
            <w:pPr>
              <w:jc w:val="center"/>
              <w:rPr>
                <w:rFonts w:asciiTheme="minorEastAsia" w:hAnsiTheme="minorEastAsia" w:cstheme="minorEastAsia"/>
                <w:szCs w:val="21"/>
              </w:rPr>
            </w:pPr>
          </w:p>
        </w:tc>
        <w:tc>
          <w:tcPr>
            <w:tcW w:w="1236" w:type="dxa"/>
          </w:tcPr>
          <w:p w:rsidR="00B31515" w:rsidRDefault="00B31515">
            <w:pPr>
              <w:jc w:val="center"/>
              <w:rPr>
                <w:rFonts w:asciiTheme="minorEastAsia" w:hAnsiTheme="minorEastAsia" w:cstheme="minorEastAsia"/>
                <w:szCs w:val="21"/>
              </w:rPr>
            </w:pPr>
          </w:p>
        </w:tc>
        <w:tc>
          <w:tcPr>
            <w:tcW w:w="826" w:type="dxa"/>
          </w:tcPr>
          <w:p w:rsidR="00B31515" w:rsidRDefault="00B31515">
            <w:pPr>
              <w:jc w:val="center"/>
              <w:rPr>
                <w:rFonts w:asciiTheme="minorEastAsia" w:hAnsiTheme="minorEastAsia" w:cstheme="minorEastAsia"/>
                <w:szCs w:val="21"/>
              </w:rPr>
            </w:pPr>
          </w:p>
        </w:tc>
        <w:tc>
          <w:tcPr>
            <w:tcW w:w="1236" w:type="dxa"/>
          </w:tcPr>
          <w:p w:rsidR="00B31515" w:rsidRDefault="00B31515">
            <w:pPr>
              <w:jc w:val="center"/>
              <w:rPr>
                <w:rFonts w:asciiTheme="minorEastAsia" w:hAnsiTheme="minorEastAsia" w:cstheme="minorEastAsia"/>
                <w:szCs w:val="21"/>
              </w:rPr>
            </w:pPr>
          </w:p>
        </w:tc>
        <w:tc>
          <w:tcPr>
            <w:tcW w:w="1233" w:type="dxa"/>
          </w:tcPr>
          <w:p w:rsidR="00B31515" w:rsidRDefault="00B31515">
            <w:pPr>
              <w:jc w:val="center"/>
              <w:rPr>
                <w:rFonts w:asciiTheme="minorEastAsia" w:hAnsiTheme="minorEastAsia" w:cstheme="minorEastAsia"/>
                <w:szCs w:val="21"/>
              </w:rPr>
            </w:pPr>
          </w:p>
        </w:tc>
        <w:tc>
          <w:tcPr>
            <w:tcW w:w="619" w:type="dxa"/>
          </w:tcPr>
          <w:p w:rsidR="00B31515" w:rsidRDefault="00B31515">
            <w:pPr>
              <w:jc w:val="center"/>
              <w:rPr>
                <w:rFonts w:asciiTheme="minorEastAsia" w:hAnsiTheme="minorEastAsia" w:cstheme="minorEastAsia"/>
                <w:szCs w:val="21"/>
              </w:rPr>
            </w:pPr>
          </w:p>
        </w:tc>
        <w:tc>
          <w:tcPr>
            <w:tcW w:w="1028" w:type="dxa"/>
          </w:tcPr>
          <w:p w:rsidR="00B31515" w:rsidRDefault="00B31515">
            <w:pPr>
              <w:jc w:val="center"/>
              <w:rPr>
                <w:rFonts w:asciiTheme="minorEastAsia" w:hAnsiTheme="minorEastAsia" w:cstheme="minorEastAsia"/>
                <w:szCs w:val="21"/>
              </w:rPr>
            </w:pPr>
          </w:p>
        </w:tc>
        <w:tc>
          <w:tcPr>
            <w:tcW w:w="1058" w:type="dxa"/>
          </w:tcPr>
          <w:p w:rsidR="00B31515" w:rsidRDefault="00B31515">
            <w:pPr>
              <w:jc w:val="center"/>
              <w:rPr>
                <w:rFonts w:asciiTheme="minorEastAsia" w:hAnsiTheme="minorEastAsia" w:cstheme="minorEastAsia"/>
                <w:szCs w:val="21"/>
              </w:rPr>
            </w:pPr>
          </w:p>
        </w:tc>
        <w:tc>
          <w:tcPr>
            <w:tcW w:w="686" w:type="dxa"/>
          </w:tcPr>
          <w:p w:rsidR="00B31515" w:rsidRDefault="00B31515">
            <w:pPr>
              <w:jc w:val="center"/>
              <w:rPr>
                <w:rFonts w:asciiTheme="minorEastAsia" w:hAnsiTheme="minorEastAsia" w:cstheme="minorEastAsia"/>
                <w:szCs w:val="21"/>
              </w:rPr>
            </w:pPr>
          </w:p>
        </w:tc>
      </w:tr>
      <w:tr w:rsidR="00B31515">
        <w:trPr>
          <w:trHeight w:val="1001"/>
        </w:trPr>
        <w:tc>
          <w:tcPr>
            <w:tcW w:w="650" w:type="dxa"/>
          </w:tcPr>
          <w:p w:rsidR="00B31515" w:rsidRDefault="00B31515">
            <w:pPr>
              <w:numPr>
                <w:ilvl w:val="0"/>
                <w:numId w:val="6"/>
              </w:numPr>
              <w:jc w:val="center"/>
              <w:rPr>
                <w:rFonts w:asciiTheme="minorEastAsia" w:hAnsiTheme="minorEastAsia" w:cstheme="minorEastAsia"/>
                <w:szCs w:val="21"/>
              </w:rPr>
            </w:pPr>
          </w:p>
        </w:tc>
        <w:tc>
          <w:tcPr>
            <w:tcW w:w="1841" w:type="dxa"/>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安全生产管理机构及人员</w:t>
            </w:r>
          </w:p>
        </w:tc>
        <w:tc>
          <w:tcPr>
            <w:tcW w:w="1806" w:type="dxa"/>
          </w:tcPr>
          <w:p w:rsidR="00B31515" w:rsidRDefault="00B31515">
            <w:pPr>
              <w:jc w:val="center"/>
              <w:rPr>
                <w:rFonts w:asciiTheme="minorEastAsia" w:hAnsiTheme="minorEastAsia" w:cstheme="minorEastAsia"/>
                <w:szCs w:val="21"/>
              </w:rPr>
            </w:pPr>
          </w:p>
        </w:tc>
        <w:tc>
          <w:tcPr>
            <w:tcW w:w="1241" w:type="dxa"/>
          </w:tcPr>
          <w:p w:rsidR="00B31515" w:rsidRDefault="00B31515">
            <w:pPr>
              <w:jc w:val="center"/>
              <w:rPr>
                <w:rFonts w:asciiTheme="minorEastAsia" w:hAnsiTheme="minorEastAsia" w:cstheme="minorEastAsia"/>
                <w:szCs w:val="21"/>
              </w:rPr>
            </w:pPr>
          </w:p>
        </w:tc>
        <w:tc>
          <w:tcPr>
            <w:tcW w:w="1236" w:type="dxa"/>
          </w:tcPr>
          <w:p w:rsidR="00B31515" w:rsidRDefault="00B31515">
            <w:pPr>
              <w:jc w:val="center"/>
              <w:rPr>
                <w:rFonts w:asciiTheme="minorEastAsia" w:hAnsiTheme="minorEastAsia" w:cstheme="minorEastAsia"/>
                <w:szCs w:val="21"/>
              </w:rPr>
            </w:pPr>
          </w:p>
        </w:tc>
        <w:tc>
          <w:tcPr>
            <w:tcW w:w="826" w:type="dxa"/>
          </w:tcPr>
          <w:p w:rsidR="00B31515" w:rsidRDefault="00B31515">
            <w:pPr>
              <w:jc w:val="center"/>
              <w:rPr>
                <w:rFonts w:asciiTheme="minorEastAsia" w:hAnsiTheme="minorEastAsia" w:cstheme="minorEastAsia"/>
                <w:szCs w:val="21"/>
              </w:rPr>
            </w:pPr>
          </w:p>
        </w:tc>
        <w:tc>
          <w:tcPr>
            <w:tcW w:w="1236" w:type="dxa"/>
          </w:tcPr>
          <w:p w:rsidR="00B31515" w:rsidRDefault="00B31515">
            <w:pPr>
              <w:jc w:val="center"/>
              <w:rPr>
                <w:rFonts w:asciiTheme="minorEastAsia" w:hAnsiTheme="minorEastAsia" w:cstheme="minorEastAsia"/>
                <w:szCs w:val="21"/>
              </w:rPr>
            </w:pPr>
          </w:p>
        </w:tc>
        <w:tc>
          <w:tcPr>
            <w:tcW w:w="1233" w:type="dxa"/>
          </w:tcPr>
          <w:p w:rsidR="00B31515" w:rsidRDefault="00B31515">
            <w:pPr>
              <w:jc w:val="center"/>
              <w:rPr>
                <w:rFonts w:asciiTheme="minorEastAsia" w:hAnsiTheme="minorEastAsia" w:cstheme="minorEastAsia"/>
                <w:szCs w:val="21"/>
              </w:rPr>
            </w:pPr>
          </w:p>
        </w:tc>
        <w:tc>
          <w:tcPr>
            <w:tcW w:w="619" w:type="dxa"/>
          </w:tcPr>
          <w:p w:rsidR="00B31515" w:rsidRDefault="00B31515">
            <w:pPr>
              <w:jc w:val="center"/>
              <w:rPr>
                <w:rFonts w:asciiTheme="minorEastAsia" w:hAnsiTheme="minorEastAsia" w:cstheme="minorEastAsia"/>
                <w:szCs w:val="21"/>
              </w:rPr>
            </w:pPr>
          </w:p>
        </w:tc>
        <w:tc>
          <w:tcPr>
            <w:tcW w:w="1028" w:type="dxa"/>
          </w:tcPr>
          <w:p w:rsidR="00B31515" w:rsidRDefault="00B31515">
            <w:pPr>
              <w:jc w:val="center"/>
              <w:rPr>
                <w:rFonts w:asciiTheme="minorEastAsia" w:hAnsiTheme="minorEastAsia" w:cstheme="minorEastAsia"/>
                <w:szCs w:val="21"/>
              </w:rPr>
            </w:pPr>
          </w:p>
        </w:tc>
        <w:tc>
          <w:tcPr>
            <w:tcW w:w="1058" w:type="dxa"/>
          </w:tcPr>
          <w:p w:rsidR="00B31515" w:rsidRDefault="00B31515">
            <w:pPr>
              <w:jc w:val="center"/>
              <w:rPr>
                <w:rFonts w:asciiTheme="minorEastAsia" w:hAnsiTheme="minorEastAsia" w:cstheme="minorEastAsia"/>
                <w:szCs w:val="21"/>
              </w:rPr>
            </w:pPr>
          </w:p>
        </w:tc>
        <w:tc>
          <w:tcPr>
            <w:tcW w:w="686" w:type="dxa"/>
          </w:tcPr>
          <w:p w:rsidR="00B31515" w:rsidRDefault="00B31515">
            <w:pPr>
              <w:jc w:val="center"/>
              <w:rPr>
                <w:rFonts w:asciiTheme="minorEastAsia" w:hAnsiTheme="minorEastAsia" w:cstheme="minorEastAsia"/>
                <w:szCs w:val="21"/>
              </w:rPr>
            </w:pPr>
          </w:p>
        </w:tc>
      </w:tr>
      <w:tr w:rsidR="00B31515">
        <w:trPr>
          <w:trHeight w:val="525"/>
        </w:trPr>
        <w:tc>
          <w:tcPr>
            <w:tcW w:w="650" w:type="dxa"/>
          </w:tcPr>
          <w:p w:rsidR="00B31515" w:rsidRDefault="00B31515">
            <w:pPr>
              <w:numPr>
                <w:ilvl w:val="0"/>
                <w:numId w:val="6"/>
              </w:numPr>
              <w:jc w:val="center"/>
              <w:rPr>
                <w:rFonts w:asciiTheme="minorEastAsia" w:hAnsiTheme="minorEastAsia" w:cstheme="minorEastAsia"/>
                <w:szCs w:val="21"/>
              </w:rPr>
            </w:pPr>
          </w:p>
        </w:tc>
        <w:tc>
          <w:tcPr>
            <w:tcW w:w="1841" w:type="dxa"/>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安全生产责任制</w:t>
            </w:r>
          </w:p>
        </w:tc>
        <w:tc>
          <w:tcPr>
            <w:tcW w:w="1806" w:type="dxa"/>
          </w:tcPr>
          <w:p w:rsidR="00B31515" w:rsidRDefault="00B31515">
            <w:pPr>
              <w:rPr>
                <w:rFonts w:asciiTheme="minorEastAsia" w:hAnsiTheme="minorEastAsia" w:cstheme="minorEastAsia"/>
                <w:szCs w:val="21"/>
              </w:rPr>
            </w:pPr>
          </w:p>
        </w:tc>
        <w:tc>
          <w:tcPr>
            <w:tcW w:w="1241" w:type="dxa"/>
          </w:tcPr>
          <w:p w:rsidR="00B31515" w:rsidRDefault="00B31515">
            <w:pPr>
              <w:jc w:val="center"/>
              <w:rPr>
                <w:rFonts w:asciiTheme="minorEastAsia" w:hAnsiTheme="minorEastAsia" w:cstheme="minorEastAsia"/>
                <w:szCs w:val="21"/>
              </w:rPr>
            </w:pPr>
          </w:p>
        </w:tc>
        <w:tc>
          <w:tcPr>
            <w:tcW w:w="1236" w:type="dxa"/>
          </w:tcPr>
          <w:p w:rsidR="00B31515" w:rsidRDefault="00B31515">
            <w:pPr>
              <w:jc w:val="center"/>
              <w:rPr>
                <w:rFonts w:asciiTheme="minorEastAsia" w:hAnsiTheme="minorEastAsia" w:cstheme="minorEastAsia"/>
                <w:szCs w:val="21"/>
              </w:rPr>
            </w:pPr>
          </w:p>
        </w:tc>
        <w:tc>
          <w:tcPr>
            <w:tcW w:w="826" w:type="dxa"/>
          </w:tcPr>
          <w:p w:rsidR="00B31515" w:rsidRDefault="00B31515">
            <w:pPr>
              <w:jc w:val="center"/>
              <w:rPr>
                <w:rFonts w:asciiTheme="minorEastAsia" w:hAnsiTheme="minorEastAsia" w:cstheme="minorEastAsia"/>
                <w:szCs w:val="21"/>
              </w:rPr>
            </w:pPr>
          </w:p>
        </w:tc>
        <w:tc>
          <w:tcPr>
            <w:tcW w:w="1236" w:type="dxa"/>
          </w:tcPr>
          <w:p w:rsidR="00B31515" w:rsidRDefault="00B31515">
            <w:pPr>
              <w:jc w:val="center"/>
              <w:rPr>
                <w:rFonts w:asciiTheme="minorEastAsia" w:hAnsiTheme="minorEastAsia" w:cstheme="minorEastAsia"/>
                <w:szCs w:val="21"/>
              </w:rPr>
            </w:pPr>
          </w:p>
        </w:tc>
        <w:tc>
          <w:tcPr>
            <w:tcW w:w="1233" w:type="dxa"/>
          </w:tcPr>
          <w:p w:rsidR="00B31515" w:rsidRDefault="00B31515">
            <w:pPr>
              <w:jc w:val="center"/>
              <w:rPr>
                <w:rFonts w:asciiTheme="minorEastAsia" w:hAnsiTheme="minorEastAsia" w:cstheme="minorEastAsia"/>
                <w:szCs w:val="21"/>
              </w:rPr>
            </w:pPr>
          </w:p>
        </w:tc>
        <w:tc>
          <w:tcPr>
            <w:tcW w:w="619" w:type="dxa"/>
          </w:tcPr>
          <w:p w:rsidR="00B31515" w:rsidRDefault="00B31515">
            <w:pPr>
              <w:jc w:val="center"/>
              <w:rPr>
                <w:rFonts w:asciiTheme="minorEastAsia" w:hAnsiTheme="minorEastAsia" w:cstheme="minorEastAsia"/>
                <w:szCs w:val="21"/>
              </w:rPr>
            </w:pPr>
          </w:p>
        </w:tc>
        <w:tc>
          <w:tcPr>
            <w:tcW w:w="1028" w:type="dxa"/>
          </w:tcPr>
          <w:p w:rsidR="00B31515" w:rsidRDefault="00B31515">
            <w:pPr>
              <w:jc w:val="center"/>
              <w:rPr>
                <w:rFonts w:asciiTheme="minorEastAsia" w:hAnsiTheme="minorEastAsia" w:cstheme="minorEastAsia"/>
                <w:szCs w:val="21"/>
              </w:rPr>
            </w:pPr>
          </w:p>
        </w:tc>
        <w:tc>
          <w:tcPr>
            <w:tcW w:w="1058" w:type="dxa"/>
          </w:tcPr>
          <w:p w:rsidR="00B31515" w:rsidRDefault="00B31515">
            <w:pPr>
              <w:jc w:val="center"/>
              <w:rPr>
                <w:rFonts w:asciiTheme="minorEastAsia" w:hAnsiTheme="minorEastAsia" w:cstheme="minorEastAsia"/>
                <w:szCs w:val="21"/>
              </w:rPr>
            </w:pPr>
          </w:p>
        </w:tc>
        <w:tc>
          <w:tcPr>
            <w:tcW w:w="686" w:type="dxa"/>
          </w:tcPr>
          <w:p w:rsidR="00B31515" w:rsidRDefault="00B31515">
            <w:pPr>
              <w:jc w:val="center"/>
              <w:rPr>
                <w:rFonts w:asciiTheme="minorEastAsia" w:hAnsiTheme="minorEastAsia" w:cstheme="minorEastAsia"/>
                <w:szCs w:val="21"/>
              </w:rPr>
            </w:pPr>
          </w:p>
        </w:tc>
      </w:tr>
      <w:tr w:rsidR="00B31515">
        <w:trPr>
          <w:trHeight w:val="525"/>
        </w:trPr>
        <w:tc>
          <w:tcPr>
            <w:tcW w:w="650" w:type="dxa"/>
          </w:tcPr>
          <w:p w:rsidR="00B31515" w:rsidRDefault="00B31515">
            <w:pPr>
              <w:numPr>
                <w:ilvl w:val="0"/>
                <w:numId w:val="6"/>
              </w:numPr>
              <w:jc w:val="center"/>
              <w:rPr>
                <w:rFonts w:asciiTheme="minorEastAsia" w:hAnsiTheme="minorEastAsia" w:cstheme="minorEastAsia"/>
                <w:szCs w:val="21"/>
              </w:rPr>
            </w:pPr>
          </w:p>
        </w:tc>
        <w:tc>
          <w:tcPr>
            <w:tcW w:w="1841" w:type="dxa"/>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w:t>
            </w:r>
          </w:p>
        </w:tc>
        <w:tc>
          <w:tcPr>
            <w:tcW w:w="1806" w:type="dxa"/>
          </w:tcPr>
          <w:p w:rsidR="00B31515" w:rsidRDefault="00B31515">
            <w:pPr>
              <w:jc w:val="center"/>
              <w:rPr>
                <w:rFonts w:asciiTheme="minorEastAsia" w:hAnsiTheme="minorEastAsia" w:cstheme="minorEastAsia"/>
                <w:szCs w:val="21"/>
              </w:rPr>
            </w:pPr>
          </w:p>
        </w:tc>
        <w:tc>
          <w:tcPr>
            <w:tcW w:w="1241" w:type="dxa"/>
          </w:tcPr>
          <w:p w:rsidR="00B31515" w:rsidRDefault="00B31515">
            <w:pPr>
              <w:jc w:val="center"/>
              <w:rPr>
                <w:rFonts w:asciiTheme="minorEastAsia" w:hAnsiTheme="minorEastAsia" w:cstheme="minorEastAsia"/>
                <w:szCs w:val="21"/>
              </w:rPr>
            </w:pPr>
          </w:p>
        </w:tc>
        <w:tc>
          <w:tcPr>
            <w:tcW w:w="1236" w:type="dxa"/>
          </w:tcPr>
          <w:p w:rsidR="00B31515" w:rsidRDefault="00B31515">
            <w:pPr>
              <w:jc w:val="center"/>
              <w:rPr>
                <w:rFonts w:asciiTheme="minorEastAsia" w:hAnsiTheme="minorEastAsia" w:cstheme="minorEastAsia"/>
                <w:szCs w:val="21"/>
              </w:rPr>
            </w:pPr>
          </w:p>
        </w:tc>
        <w:tc>
          <w:tcPr>
            <w:tcW w:w="826" w:type="dxa"/>
          </w:tcPr>
          <w:p w:rsidR="00B31515" w:rsidRDefault="00B31515">
            <w:pPr>
              <w:jc w:val="center"/>
              <w:rPr>
                <w:rFonts w:asciiTheme="minorEastAsia" w:hAnsiTheme="minorEastAsia" w:cstheme="minorEastAsia"/>
                <w:szCs w:val="21"/>
              </w:rPr>
            </w:pPr>
          </w:p>
        </w:tc>
        <w:tc>
          <w:tcPr>
            <w:tcW w:w="1236" w:type="dxa"/>
          </w:tcPr>
          <w:p w:rsidR="00B31515" w:rsidRDefault="00B31515">
            <w:pPr>
              <w:jc w:val="center"/>
              <w:rPr>
                <w:rFonts w:asciiTheme="minorEastAsia" w:hAnsiTheme="minorEastAsia" w:cstheme="minorEastAsia"/>
                <w:szCs w:val="21"/>
              </w:rPr>
            </w:pPr>
          </w:p>
        </w:tc>
        <w:tc>
          <w:tcPr>
            <w:tcW w:w="1233" w:type="dxa"/>
          </w:tcPr>
          <w:p w:rsidR="00B31515" w:rsidRDefault="00B31515">
            <w:pPr>
              <w:jc w:val="center"/>
              <w:rPr>
                <w:rFonts w:asciiTheme="minorEastAsia" w:hAnsiTheme="minorEastAsia" w:cstheme="minorEastAsia"/>
                <w:szCs w:val="21"/>
              </w:rPr>
            </w:pPr>
          </w:p>
        </w:tc>
        <w:tc>
          <w:tcPr>
            <w:tcW w:w="619" w:type="dxa"/>
          </w:tcPr>
          <w:p w:rsidR="00B31515" w:rsidRDefault="00B31515">
            <w:pPr>
              <w:jc w:val="center"/>
              <w:rPr>
                <w:rFonts w:asciiTheme="minorEastAsia" w:hAnsiTheme="minorEastAsia" w:cstheme="minorEastAsia"/>
                <w:szCs w:val="21"/>
              </w:rPr>
            </w:pPr>
          </w:p>
        </w:tc>
        <w:tc>
          <w:tcPr>
            <w:tcW w:w="1028" w:type="dxa"/>
          </w:tcPr>
          <w:p w:rsidR="00B31515" w:rsidRDefault="00B31515">
            <w:pPr>
              <w:jc w:val="center"/>
              <w:rPr>
                <w:rFonts w:asciiTheme="minorEastAsia" w:hAnsiTheme="minorEastAsia" w:cstheme="minorEastAsia"/>
                <w:szCs w:val="21"/>
              </w:rPr>
            </w:pPr>
          </w:p>
        </w:tc>
        <w:tc>
          <w:tcPr>
            <w:tcW w:w="1058" w:type="dxa"/>
          </w:tcPr>
          <w:p w:rsidR="00B31515" w:rsidRDefault="00B31515">
            <w:pPr>
              <w:jc w:val="center"/>
              <w:rPr>
                <w:rFonts w:asciiTheme="minorEastAsia" w:hAnsiTheme="minorEastAsia" w:cstheme="minorEastAsia"/>
                <w:szCs w:val="21"/>
              </w:rPr>
            </w:pPr>
          </w:p>
        </w:tc>
        <w:tc>
          <w:tcPr>
            <w:tcW w:w="686" w:type="dxa"/>
          </w:tcPr>
          <w:p w:rsidR="00B31515" w:rsidRDefault="00B31515">
            <w:pPr>
              <w:jc w:val="center"/>
              <w:rPr>
                <w:rFonts w:asciiTheme="minorEastAsia" w:hAnsiTheme="minorEastAsia" w:cstheme="minorEastAsia"/>
                <w:szCs w:val="21"/>
              </w:rPr>
            </w:pPr>
          </w:p>
        </w:tc>
      </w:tr>
    </w:tbl>
    <w:p w:rsidR="00B31515" w:rsidRDefault="000C6CAF">
      <w:pPr>
        <w:pStyle w:val="a3"/>
        <w:numPr>
          <w:ilvl w:val="0"/>
          <w:numId w:val="0"/>
        </w:numPr>
        <w:rPr>
          <w:rFonts w:asciiTheme="minorEastAsia" w:eastAsiaTheme="minorEastAsia" w:hAnsiTheme="minorEastAsia" w:cstheme="minorEastAsia"/>
        </w:rPr>
      </w:pPr>
      <w:r>
        <w:rPr>
          <w:rFonts w:asciiTheme="minorEastAsia" w:eastAsiaTheme="minorEastAsia" w:hAnsiTheme="minorEastAsia" w:cstheme="minorEastAsia" w:hint="eastAsia"/>
        </w:rPr>
        <w:t>注：</w:t>
      </w:r>
      <w:r>
        <w:rPr>
          <w:rFonts w:asciiTheme="minorEastAsia" w:eastAsiaTheme="minorEastAsia" w:hAnsiTheme="minorEastAsia" w:cstheme="minorEastAsia" w:hint="eastAsia"/>
        </w:rPr>
        <w:t>1.</w:t>
      </w:r>
      <w:r>
        <w:rPr>
          <w:rFonts w:asciiTheme="minorEastAsia" w:eastAsiaTheme="minorEastAsia" w:hAnsiTheme="minorEastAsia" w:cstheme="minorEastAsia" w:hint="eastAsia"/>
        </w:rPr>
        <w:t>排查类型主要包括综合性隐患排查、专业或专项隐患排查、季节性隐患排查等。</w:t>
      </w:r>
    </w:p>
    <w:p w:rsidR="00B31515" w:rsidRDefault="000C6CAF">
      <w:pPr>
        <w:pStyle w:val="a3"/>
        <w:numPr>
          <w:ilvl w:val="0"/>
          <w:numId w:val="0"/>
        </w:numPr>
        <w:rPr>
          <w:rFonts w:asciiTheme="minorEastAsia" w:eastAsiaTheme="minorEastAsia" w:hAnsiTheme="minorEastAsia" w:cstheme="minorEastAsia"/>
        </w:rPr>
      </w:pPr>
      <w:r>
        <w:rPr>
          <w:rFonts w:asciiTheme="minorEastAsia" w:eastAsiaTheme="minorEastAsia" w:hAnsiTheme="minorEastAsia" w:cstheme="minorEastAsia" w:hint="eastAsia"/>
        </w:rPr>
        <w:t>2.</w:t>
      </w:r>
      <w:r>
        <w:rPr>
          <w:rFonts w:asciiTheme="minorEastAsia" w:eastAsiaTheme="minorEastAsia" w:hAnsiTheme="minorEastAsia" w:cstheme="minorEastAsia" w:hint="eastAsia"/>
        </w:rPr>
        <w:t>组织级别一般包括公司级、公司级、车间级，也可结合本单位机构设置情况对组织级别进行调整。</w:t>
      </w:r>
    </w:p>
    <w:p w:rsidR="00B31515" w:rsidRDefault="000C6CAF">
      <w:pPr>
        <w:pStyle w:val="ab"/>
        <w:ind w:firstLineChars="0" w:firstLine="0"/>
        <w:rPr>
          <w:rFonts w:asciiTheme="minorEastAsia" w:eastAsiaTheme="minorEastAsia" w:hAnsiTheme="minorEastAsia" w:cstheme="minorEastAsia"/>
        </w:rPr>
        <w:sectPr w:rsidR="00B31515">
          <w:headerReference w:type="even" r:id="rId17"/>
          <w:headerReference w:type="default" r:id="rId18"/>
          <w:footerReference w:type="default" r:id="rId19"/>
          <w:headerReference w:type="first" r:id="rId20"/>
          <w:pgSz w:w="16838" w:h="11906" w:orient="landscape"/>
          <w:pgMar w:top="645" w:right="1797" w:bottom="1440" w:left="1797" w:header="574" w:footer="1134" w:gutter="0"/>
          <w:pgNumType w:start="11"/>
          <w:cols w:space="720"/>
          <w:formProt w:val="0"/>
          <w:docGrid w:type="lines" w:linePitch="312"/>
        </w:sectPr>
      </w:pPr>
      <w:r>
        <w:rPr>
          <w:rFonts w:asciiTheme="minorEastAsia" w:eastAsiaTheme="minorEastAsia" w:hAnsiTheme="minorEastAsia" w:cstheme="minorEastAsia" w:hint="eastAsia"/>
          <w:sz w:val="18"/>
          <w:szCs w:val="18"/>
        </w:rPr>
        <w:t>3.</w:t>
      </w:r>
      <w:r>
        <w:rPr>
          <w:rFonts w:asciiTheme="minorEastAsia" w:eastAsiaTheme="minorEastAsia" w:hAnsiTheme="minorEastAsia" w:cstheme="minorEastAsia" w:hint="eastAsia"/>
          <w:sz w:val="18"/>
          <w:szCs w:val="18"/>
        </w:rPr>
        <w:t>根据排查类型、排查周期、组织级别对排查内容与排查标准进行勾选。</w:t>
      </w:r>
    </w:p>
    <w:p w:rsidR="00B31515" w:rsidRDefault="000C6CAF">
      <w:pPr>
        <w:rPr>
          <w:rFonts w:asciiTheme="minorEastAsia" w:hAnsiTheme="minorEastAsia" w:cstheme="minorEastAsia"/>
          <w:szCs w:val="32"/>
        </w:rPr>
      </w:pPr>
      <w:bookmarkStart w:id="66" w:name="_Toc2549"/>
      <w:bookmarkStart w:id="67" w:name="_Toc25611"/>
      <w:r>
        <w:rPr>
          <w:rFonts w:asciiTheme="minorEastAsia" w:hAnsiTheme="minorEastAsia" w:cstheme="minorEastAsia" w:hint="eastAsia"/>
          <w:b/>
          <w:bCs/>
          <w:sz w:val="32"/>
          <w:szCs w:val="32"/>
        </w:rPr>
        <w:lastRenderedPageBreak/>
        <w:t>附录</w:t>
      </w:r>
      <w:r>
        <w:rPr>
          <w:rFonts w:asciiTheme="minorEastAsia" w:hAnsiTheme="minorEastAsia" w:cstheme="minorEastAsia" w:hint="eastAsia"/>
          <w:b/>
          <w:bCs/>
          <w:sz w:val="32"/>
          <w:szCs w:val="32"/>
        </w:rPr>
        <w:t xml:space="preserve">3 </w:t>
      </w:r>
      <w:r>
        <w:rPr>
          <w:rFonts w:asciiTheme="minorEastAsia" w:hAnsiTheme="minorEastAsia" w:cstheme="minorEastAsia" w:hint="eastAsia"/>
          <w:b/>
          <w:bCs/>
          <w:sz w:val="32"/>
          <w:szCs w:val="32"/>
        </w:rPr>
        <w:t>现场管理类隐患排查治理台账</w:t>
      </w:r>
      <w:bookmarkEnd w:id="66"/>
      <w:bookmarkEnd w:id="67"/>
    </w:p>
    <w:tbl>
      <w:tblPr>
        <w:tblW w:w="14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1"/>
        <w:gridCol w:w="541"/>
        <w:gridCol w:w="541"/>
        <w:gridCol w:w="541"/>
        <w:gridCol w:w="552"/>
        <w:gridCol w:w="540"/>
        <w:gridCol w:w="365"/>
        <w:gridCol w:w="1025"/>
        <w:gridCol w:w="483"/>
        <w:gridCol w:w="540"/>
        <w:gridCol w:w="540"/>
        <w:gridCol w:w="542"/>
        <w:gridCol w:w="542"/>
        <w:gridCol w:w="542"/>
        <w:gridCol w:w="542"/>
        <w:gridCol w:w="542"/>
        <w:gridCol w:w="542"/>
        <w:gridCol w:w="542"/>
        <w:gridCol w:w="542"/>
        <w:gridCol w:w="542"/>
        <w:gridCol w:w="542"/>
        <w:gridCol w:w="542"/>
        <w:gridCol w:w="542"/>
        <w:gridCol w:w="542"/>
        <w:gridCol w:w="542"/>
        <w:gridCol w:w="542"/>
        <w:gridCol w:w="483"/>
      </w:tblGrid>
      <w:tr w:rsidR="00B31515">
        <w:trPr>
          <w:trHeight w:val="571"/>
        </w:trPr>
        <w:tc>
          <w:tcPr>
            <w:tcW w:w="2716" w:type="dxa"/>
            <w:gridSpan w:val="5"/>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风险点</w:t>
            </w:r>
          </w:p>
        </w:tc>
        <w:tc>
          <w:tcPr>
            <w:tcW w:w="2413" w:type="dxa"/>
            <w:gridSpan w:val="4"/>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排查内容与排查标准</w:t>
            </w:r>
          </w:p>
        </w:tc>
        <w:tc>
          <w:tcPr>
            <w:tcW w:w="2164" w:type="dxa"/>
            <w:gridSpan w:val="4"/>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计划过程</w:t>
            </w:r>
          </w:p>
        </w:tc>
        <w:tc>
          <w:tcPr>
            <w:tcW w:w="3252" w:type="dxa"/>
            <w:gridSpan w:val="6"/>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排查过程</w:t>
            </w:r>
          </w:p>
        </w:tc>
        <w:tc>
          <w:tcPr>
            <w:tcW w:w="2710" w:type="dxa"/>
            <w:gridSpan w:val="5"/>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整改过程</w:t>
            </w:r>
          </w:p>
        </w:tc>
        <w:tc>
          <w:tcPr>
            <w:tcW w:w="1567" w:type="dxa"/>
            <w:gridSpan w:val="3"/>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验收过程</w:t>
            </w:r>
          </w:p>
        </w:tc>
      </w:tr>
      <w:tr w:rsidR="00B31515">
        <w:trPr>
          <w:trHeight w:val="1399"/>
        </w:trPr>
        <w:tc>
          <w:tcPr>
            <w:tcW w:w="541" w:type="dxa"/>
            <w:vMerge w:val="restart"/>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编号</w:t>
            </w:r>
          </w:p>
        </w:tc>
        <w:tc>
          <w:tcPr>
            <w:tcW w:w="541" w:type="dxa"/>
            <w:vMerge w:val="restart"/>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类型</w:t>
            </w:r>
          </w:p>
        </w:tc>
        <w:tc>
          <w:tcPr>
            <w:tcW w:w="541" w:type="dxa"/>
            <w:vMerge w:val="restart"/>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名称</w:t>
            </w:r>
          </w:p>
        </w:tc>
        <w:tc>
          <w:tcPr>
            <w:tcW w:w="541" w:type="dxa"/>
            <w:vMerge w:val="restart"/>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风险点等级</w:t>
            </w:r>
          </w:p>
        </w:tc>
        <w:tc>
          <w:tcPr>
            <w:tcW w:w="552" w:type="dxa"/>
            <w:vMerge w:val="restart"/>
            <w:vAlign w:val="center"/>
          </w:tcPr>
          <w:p w:rsidR="00B31515" w:rsidRDefault="00B31515">
            <w:pPr>
              <w:jc w:val="center"/>
              <w:rPr>
                <w:rFonts w:asciiTheme="minorEastAsia" w:hAnsiTheme="minorEastAsia" w:cstheme="minorEastAsia"/>
                <w:sz w:val="20"/>
                <w:szCs w:val="20"/>
              </w:rPr>
            </w:pPr>
          </w:p>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责任单位</w:t>
            </w:r>
          </w:p>
          <w:p w:rsidR="00B31515" w:rsidRDefault="00B31515">
            <w:pPr>
              <w:jc w:val="center"/>
              <w:rPr>
                <w:rFonts w:asciiTheme="minorEastAsia" w:hAnsiTheme="minorEastAsia" w:cstheme="minorEastAsia"/>
                <w:sz w:val="20"/>
                <w:szCs w:val="20"/>
              </w:rPr>
            </w:pPr>
          </w:p>
        </w:tc>
        <w:tc>
          <w:tcPr>
            <w:tcW w:w="905" w:type="dxa"/>
            <w:gridSpan w:val="2"/>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作业步骤</w:t>
            </w:r>
          </w:p>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w:t>
            </w:r>
            <w:r>
              <w:rPr>
                <w:rFonts w:asciiTheme="minorEastAsia" w:hAnsiTheme="minorEastAsia" w:cstheme="minorEastAsia" w:hint="eastAsia"/>
                <w:sz w:val="20"/>
                <w:szCs w:val="20"/>
              </w:rPr>
              <w:t>检查项目）</w:t>
            </w:r>
          </w:p>
          <w:p w:rsidR="00B31515" w:rsidRDefault="00B31515">
            <w:pPr>
              <w:jc w:val="center"/>
              <w:rPr>
                <w:rFonts w:asciiTheme="minorEastAsia" w:hAnsiTheme="minorEastAsia" w:cstheme="minorEastAsia"/>
                <w:sz w:val="20"/>
                <w:szCs w:val="20"/>
              </w:rPr>
            </w:pPr>
          </w:p>
        </w:tc>
        <w:tc>
          <w:tcPr>
            <w:tcW w:w="1508" w:type="dxa"/>
            <w:gridSpan w:val="2"/>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管控</w:t>
            </w:r>
          </w:p>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措施</w:t>
            </w:r>
          </w:p>
        </w:tc>
        <w:tc>
          <w:tcPr>
            <w:tcW w:w="540"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排查类型</w:t>
            </w:r>
          </w:p>
        </w:tc>
        <w:tc>
          <w:tcPr>
            <w:tcW w:w="540"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排查周期</w:t>
            </w:r>
          </w:p>
        </w:tc>
        <w:tc>
          <w:tcPr>
            <w:tcW w:w="542"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责任单位</w:t>
            </w:r>
          </w:p>
        </w:tc>
        <w:tc>
          <w:tcPr>
            <w:tcW w:w="542"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责任人</w:t>
            </w:r>
          </w:p>
        </w:tc>
        <w:tc>
          <w:tcPr>
            <w:tcW w:w="542"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排查结果</w:t>
            </w:r>
          </w:p>
        </w:tc>
        <w:tc>
          <w:tcPr>
            <w:tcW w:w="542"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隐患描述</w:t>
            </w:r>
          </w:p>
        </w:tc>
        <w:tc>
          <w:tcPr>
            <w:tcW w:w="542"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隐患级别</w:t>
            </w:r>
          </w:p>
        </w:tc>
        <w:tc>
          <w:tcPr>
            <w:tcW w:w="542"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排查人</w:t>
            </w:r>
          </w:p>
        </w:tc>
        <w:tc>
          <w:tcPr>
            <w:tcW w:w="542"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排查时间</w:t>
            </w:r>
          </w:p>
        </w:tc>
        <w:tc>
          <w:tcPr>
            <w:tcW w:w="542"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形成原因分析</w:t>
            </w:r>
          </w:p>
        </w:tc>
        <w:tc>
          <w:tcPr>
            <w:tcW w:w="542"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整改措施</w:t>
            </w:r>
          </w:p>
        </w:tc>
        <w:tc>
          <w:tcPr>
            <w:tcW w:w="542"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整改责任单位</w:t>
            </w:r>
          </w:p>
        </w:tc>
        <w:tc>
          <w:tcPr>
            <w:tcW w:w="542"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整改责任人</w:t>
            </w:r>
          </w:p>
        </w:tc>
        <w:tc>
          <w:tcPr>
            <w:tcW w:w="542" w:type="dxa"/>
            <w:vMerge w:val="restart"/>
            <w:vAlign w:val="center"/>
          </w:tcPr>
          <w:p w:rsidR="00B31515" w:rsidRDefault="00B31515">
            <w:pPr>
              <w:jc w:val="center"/>
              <w:rPr>
                <w:rFonts w:asciiTheme="minorEastAsia" w:hAnsiTheme="minorEastAsia" w:cstheme="minorEastAsia"/>
                <w:sz w:val="20"/>
                <w:szCs w:val="20"/>
              </w:rPr>
            </w:pPr>
          </w:p>
          <w:p w:rsidR="00B31515" w:rsidRDefault="00B31515">
            <w:pPr>
              <w:jc w:val="center"/>
              <w:rPr>
                <w:rFonts w:asciiTheme="minorEastAsia" w:hAnsiTheme="minorEastAsia" w:cstheme="minorEastAsia"/>
                <w:sz w:val="20"/>
                <w:szCs w:val="20"/>
              </w:rPr>
            </w:pPr>
          </w:p>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整改期限</w:t>
            </w:r>
          </w:p>
        </w:tc>
        <w:tc>
          <w:tcPr>
            <w:tcW w:w="542" w:type="dxa"/>
            <w:vMerge w:val="restart"/>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资金额</w:t>
            </w:r>
          </w:p>
        </w:tc>
        <w:tc>
          <w:tcPr>
            <w:tcW w:w="542" w:type="dxa"/>
            <w:vMerge w:val="restart"/>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验收时间</w:t>
            </w:r>
          </w:p>
        </w:tc>
        <w:tc>
          <w:tcPr>
            <w:tcW w:w="542" w:type="dxa"/>
            <w:vMerge w:val="restart"/>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验收人</w:t>
            </w:r>
          </w:p>
        </w:tc>
        <w:tc>
          <w:tcPr>
            <w:tcW w:w="483" w:type="dxa"/>
            <w:vMerge w:val="restart"/>
            <w:vAlign w:val="center"/>
          </w:tcPr>
          <w:p w:rsidR="00B31515" w:rsidRDefault="00B31515">
            <w:pPr>
              <w:jc w:val="center"/>
              <w:rPr>
                <w:rFonts w:asciiTheme="minorEastAsia" w:hAnsiTheme="minorEastAsia" w:cstheme="minorEastAsia"/>
                <w:szCs w:val="21"/>
              </w:rPr>
            </w:pPr>
          </w:p>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验收情况</w:t>
            </w:r>
          </w:p>
        </w:tc>
      </w:tr>
      <w:tr w:rsidR="00B31515">
        <w:trPr>
          <w:trHeight w:val="858"/>
        </w:trPr>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52" w:type="dxa"/>
            <w:vMerge/>
            <w:vAlign w:val="center"/>
          </w:tcPr>
          <w:p w:rsidR="00B31515" w:rsidRDefault="00B31515">
            <w:pPr>
              <w:jc w:val="center"/>
              <w:rPr>
                <w:rFonts w:asciiTheme="minorEastAsia" w:hAnsiTheme="minorEastAsia" w:cstheme="minorEastAsia"/>
                <w:sz w:val="20"/>
                <w:szCs w:val="20"/>
              </w:rPr>
            </w:pPr>
          </w:p>
        </w:tc>
        <w:tc>
          <w:tcPr>
            <w:tcW w:w="540" w:type="dxa"/>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序号</w:t>
            </w:r>
          </w:p>
        </w:tc>
        <w:tc>
          <w:tcPr>
            <w:tcW w:w="365" w:type="dxa"/>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名称</w:t>
            </w:r>
          </w:p>
        </w:tc>
        <w:tc>
          <w:tcPr>
            <w:tcW w:w="1508" w:type="dxa"/>
            <w:gridSpan w:val="2"/>
            <w:vMerge/>
            <w:vAlign w:val="center"/>
          </w:tcPr>
          <w:p w:rsidR="00B31515" w:rsidRDefault="00B31515">
            <w:pPr>
              <w:jc w:val="center"/>
              <w:rPr>
                <w:rFonts w:asciiTheme="minorEastAsia" w:hAnsiTheme="minorEastAsia" w:cstheme="minorEastAsia"/>
                <w:sz w:val="20"/>
                <w:szCs w:val="20"/>
              </w:rPr>
            </w:pPr>
          </w:p>
        </w:tc>
        <w:tc>
          <w:tcPr>
            <w:tcW w:w="540" w:type="dxa"/>
            <w:vMerge/>
            <w:vAlign w:val="center"/>
          </w:tcPr>
          <w:p w:rsidR="00B31515" w:rsidRDefault="00B31515">
            <w:pPr>
              <w:jc w:val="center"/>
              <w:rPr>
                <w:rFonts w:asciiTheme="minorEastAsia" w:hAnsiTheme="minorEastAsia" w:cstheme="minorEastAsia"/>
                <w:sz w:val="20"/>
                <w:szCs w:val="20"/>
              </w:rPr>
            </w:pPr>
          </w:p>
        </w:tc>
        <w:tc>
          <w:tcPr>
            <w:tcW w:w="540" w:type="dxa"/>
            <w:vMerge/>
            <w:vAlign w:val="center"/>
          </w:tcPr>
          <w:p w:rsidR="00B31515" w:rsidRDefault="00B31515">
            <w:pPr>
              <w:jc w:val="center"/>
              <w:rPr>
                <w:rFonts w:asciiTheme="minorEastAsia" w:hAnsiTheme="minorEastAsia" w:cstheme="minorEastAsia"/>
                <w:sz w:val="20"/>
                <w:szCs w:val="20"/>
              </w:rPr>
            </w:pPr>
          </w:p>
        </w:tc>
        <w:tc>
          <w:tcPr>
            <w:tcW w:w="542" w:type="dxa"/>
            <w:vMerge/>
            <w:vAlign w:val="center"/>
          </w:tcPr>
          <w:p w:rsidR="00B31515" w:rsidRDefault="00B31515">
            <w:pPr>
              <w:jc w:val="center"/>
              <w:rPr>
                <w:rFonts w:asciiTheme="minorEastAsia" w:hAnsiTheme="minorEastAsia" w:cstheme="minorEastAsia"/>
                <w:sz w:val="20"/>
                <w:szCs w:val="20"/>
              </w:rPr>
            </w:pPr>
          </w:p>
        </w:tc>
        <w:tc>
          <w:tcPr>
            <w:tcW w:w="542" w:type="dxa"/>
            <w:vMerge/>
            <w:vAlign w:val="center"/>
          </w:tcPr>
          <w:p w:rsidR="00B31515" w:rsidRDefault="00B31515">
            <w:pPr>
              <w:jc w:val="center"/>
              <w:rPr>
                <w:rFonts w:asciiTheme="minorEastAsia" w:hAnsiTheme="minorEastAsia" w:cstheme="minorEastAsia"/>
                <w:sz w:val="20"/>
                <w:szCs w:val="20"/>
              </w:rPr>
            </w:pPr>
          </w:p>
        </w:tc>
        <w:tc>
          <w:tcPr>
            <w:tcW w:w="542" w:type="dxa"/>
            <w:vMerge/>
            <w:vAlign w:val="center"/>
          </w:tcPr>
          <w:p w:rsidR="00B31515" w:rsidRDefault="00B31515">
            <w:pPr>
              <w:jc w:val="center"/>
              <w:rPr>
                <w:rFonts w:asciiTheme="minorEastAsia" w:hAnsiTheme="minorEastAsia" w:cstheme="minorEastAsia"/>
                <w:sz w:val="20"/>
                <w:szCs w:val="20"/>
              </w:rPr>
            </w:pPr>
          </w:p>
        </w:tc>
        <w:tc>
          <w:tcPr>
            <w:tcW w:w="542" w:type="dxa"/>
            <w:vMerge/>
            <w:vAlign w:val="center"/>
          </w:tcPr>
          <w:p w:rsidR="00B31515" w:rsidRDefault="00B31515">
            <w:pPr>
              <w:jc w:val="center"/>
              <w:rPr>
                <w:rFonts w:asciiTheme="minorEastAsia" w:hAnsiTheme="minorEastAsia" w:cstheme="minorEastAsia"/>
                <w:sz w:val="20"/>
                <w:szCs w:val="20"/>
              </w:rPr>
            </w:pPr>
          </w:p>
        </w:tc>
        <w:tc>
          <w:tcPr>
            <w:tcW w:w="542" w:type="dxa"/>
            <w:vMerge/>
            <w:vAlign w:val="center"/>
          </w:tcPr>
          <w:p w:rsidR="00B31515" w:rsidRDefault="00B31515">
            <w:pPr>
              <w:jc w:val="center"/>
              <w:rPr>
                <w:rFonts w:asciiTheme="minorEastAsia" w:hAnsiTheme="minorEastAsia" w:cstheme="minorEastAsia"/>
                <w:sz w:val="20"/>
                <w:szCs w:val="20"/>
              </w:rPr>
            </w:pPr>
          </w:p>
        </w:tc>
        <w:tc>
          <w:tcPr>
            <w:tcW w:w="542" w:type="dxa"/>
            <w:vMerge/>
            <w:vAlign w:val="center"/>
          </w:tcPr>
          <w:p w:rsidR="00B31515" w:rsidRDefault="00B31515">
            <w:pPr>
              <w:jc w:val="center"/>
              <w:rPr>
                <w:rFonts w:asciiTheme="minorEastAsia" w:hAnsiTheme="minorEastAsia" w:cstheme="minorEastAsia"/>
                <w:sz w:val="20"/>
                <w:szCs w:val="20"/>
              </w:rPr>
            </w:pPr>
          </w:p>
        </w:tc>
        <w:tc>
          <w:tcPr>
            <w:tcW w:w="542" w:type="dxa"/>
            <w:vMerge/>
            <w:vAlign w:val="center"/>
          </w:tcPr>
          <w:p w:rsidR="00B31515" w:rsidRDefault="00B31515">
            <w:pPr>
              <w:jc w:val="center"/>
              <w:rPr>
                <w:rFonts w:asciiTheme="minorEastAsia" w:hAnsiTheme="minorEastAsia" w:cstheme="minorEastAsia"/>
                <w:sz w:val="20"/>
                <w:szCs w:val="20"/>
              </w:rPr>
            </w:pPr>
          </w:p>
        </w:tc>
        <w:tc>
          <w:tcPr>
            <w:tcW w:w="542" w:type="dxa"/>
            <w:vMerge/>
            <w:vAlign w:val="center"/>
          </w:tcPr>
          <w:p w:rsidR="00B31515" w:rsidRDefault="00B31515">
            <w:pPr>
              <w:jc w:val="center"/>
              <w:rPr>
                <w:rFonts w:asciiTheme="minorEastAsia" w:hAnsiTheme="minorEastAsia" w:cstheme="minorEastAsia"/>
                <w:sz w:val="20"/>
                <w:szCs w:val="20"/>
              </w:rPr>
            </w:pPr>
          </w:p>
        </w:tc>
        <w:tc>
          <w:tcPr>
            <w:tcW w:w="542" w:type="dxa"/>
            <w:vMerge/>
            <w:vAlign w:val="center"/>
          </w:tcPr>
          <w:p w:rsidR="00B31515" w:rsidRDefault="00B31515">
            <w:pPr>
              <w:jc w:val="center"/>
              <w:rPr>
                <w:rFonts w:asciiTheme="minorEastAsia" w:hAnsiTheme="minorEastAsia" w:cstheme="minorEastAsia"/>
                <w:sz w:val="20"/>
                <w:szCs w:val="20"/>
              </w:rPr>
            </w:pPr>
          </w:p>
        </w:tc>
        <w:tc>
          <w:tcPr>
            <w:tcW w:w="542" w:type="dxa"/>
            <w:vMerge/>
            <w:vAlign w:val="center"/>
          </w:tcPr>
          <w:p w:rsidR="00B31515" w:rsidRDefault="00B31515">
            <w:pPr>
              <w:jc w:val="center"/>
              <w:rPr>
                <w:rFonts w:asciiTheme="minorEastAsia" w:hAnsiTheme="minorEastAsia" w:cstheme="minorEastAsia"/>
                <w:sz w:val="20"/>
                <w:szCs w:val="20"/>
              </w:rPr>
            </w:pPr>
          </w:p>
        </w:tc>
        <w:tc>
          <w:tcPr>
            <w:tcW w:w="542" w:type="dxa"/>
            <w:vMerge/>
            <w:vAlign w:val="center"/>
          </w:tcPr>
          <w:p w:rsidR="00B31515" w:rsidRDefault="00B31515">
            <w:pPr>
              <w:jc w:val="center"/>
              <w:rPr>
                <w:rFonts w:asciiTheme="minorEastAsia" w:hAnsiTheme="minorEastAsia" w:cstheme="minorEastAsia"/>
                <w:sz w:val="20"/>
                <w:szCs w:val="20"/>
              </w:rPr>
            </w:pPr>
          </w:p>
        </w:tc>
        <w:tc>
          <w:tcPr>
            <w:tcW w:w="542" w:type="dxa"/>
            <w:vMerge/>
            <w:vAlign w:val="center"/>
          </w:tcPr>
          <w:p w:rsidR="00B31515" w:rsidRDefault="00B31515">
            <w:pPr>
              <w:jc w:val="center"/>
              <w:rPr>
                <w:rFonts w:asciiTheme="minorEastAsia" w:hAnsiTheme="minorEastAsia" w:cstheme="minorEastAsia"/>
                <w:sz w:val="20"/>
                <w:szCs w:val="20"/>
              </w:rPr>
            </w:pPr>
          </w:p>
        </w:tc>
        <w:tc>
          <w:tcPr>
            <w:tcW w:w="542" w:type="dxa"/>
            <w:vMerge/>
            <w:vAlign w:val="center"/>
          </w:tcPr>
          <w:p w:rsidR="00B31515" w:rsidRDefault="00B31515">
            <w:pPr>
              <w:jc w:val="center"/>
              <w:rPr>
                <w:rFonts w:asciiTheme="minorEastAsia" w:hAnsiTheme="minorEastAsia" w:cstheme="minorEastAsia"/>
                <w:szCs w:val="21"/>
              </w:rPr>
            </w:pPr>
          </w:p>
        </w:tc>
        <w:tc>
          <w:tcPr>
            <w:tcW w:w="542" w:type="dxa"/>
            <w:vMerge/>
            <w:vAlign w:val="center"/>
          </w:tcPr>
          <w:p w:rsidR="00B31515" w:rsidRDefault="00B31515">
            <w:pPr>
              <w:jc w:val="center"/>
              <w:rPr>
                <w:rFonts w:asciiTheme="minorEastAsia" w:hAnsiTheme="minorEastAsia" w:cstheme="minorEastAsia"/>
                <w:szCs w:val="21"/>
              </w:rPr>
            </w:pPr>
          </w:p>
        </w:tc>
        <w:tc>
          <w:tcPr>
            <w:tcW w:w="542" w:type="dxa"/>
            <w:vMerge/>
            <w:vAlign w:val="center"/>
          </w:tcPr>
          <w:p w:rsidR="00B31515" w:rsidRDefault="00B31515">
            <w:pPr>
              <w:jc w:val="center"/>
              <w:rPr>
                <w:rFonts w:asciiTheme="minorEastAsia" w:hAnsiTheme="minorEastAsia" w:cstheme="minorEastAsia"/>
                <w:szCs w:val="21"/>
              </w:rPr>
            </w:pPr>
          </w:p>
        </w:tc>
        <w:tc>
          <w:tcPr>
            <w:tcW w:w="483" w:type="dxa"/>
            <w:vMerge/>
            <w:vAlign w:val="center"/>
          </w:tcPr>
          <w:p w:rsidR="00B31515" w:rsidRDefault="00B31515">
            <w:pPr>
              <w:jc w:val="center"/>
              <w:rPr>
                <w:rFonts w:asciiTheme="minorEastAsia" w:hAnsiTheme="minorEastAsia" w:cstheme="minorEastAsia"/>
                <w:szCs w:val="21"/>
              </w:rPr>
            </w:pPr>
          </w:p>
        </w:tc>
      </w:tr>
      <w:tr w:rsidR="00B31515">
        <w:trPr>
          <w:trHeight w:val="624"/>
        </w:trPr>
        <w:tc>
          <w:tcPr>
            <w:tcW w:w="541" w:type="dxa"/>
            <w:vMerge w:val="restart"/>
            <w:vAlign w:val="center"/>
          </w:tcPr>
          <w:p w:rsidR="00B31515" w:rsidRDefault="00B31515">
            <w:pPr>
              <w:jc w:val="center"/>
              <w:rPr>
                <w:rFonts w:asciiTheme="minorEastAsia" w:hAnsiTheme="minorEastAsia" w:cstheme="minorEastAsia"/>
                <w:szCs w:val="21"/>
              </w:rPr>
            </w:pPr>
          </w:p>
        </w:tc>
        <w:tc>
          <w:tcPr>
            <w:tcW w:w="541"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作业活动或设备设施</w:t>
            </w:r>
          </w:p>
        </w:tc>
        <w:tc>
          <w:tcPr>
            <w:tcW w:w="541" w:type="dxa"/>
            <w:vMerge w:val="restart"/>
            <w:vAlign w:val="center"/>
          </w:tcPr>
          <w:p w:rsidR="00B31515" w:rsidRDefault="00B31515">
            <w:pPr>
              <w:jc w:val="center"/>
              <w:rPr>
                <w:rFonts w:asciiTheme="minorEastAsia" w:hAnsiTheme="minorEastAsia" w:cstheme="minorEastAsia"/>
                <w:szCs w:val="21"/>
              </w:rPr>
            </w:pPr>
          </w:p>
        </w:tc>
        <w:tc>
          <w:tcPr>
            <w:tcW w:w="541" w:type="dxa"/>
            <w:vMerge w:val="restart"/>
            <w:vAlign w:val="center"/>
          </w:tcPr>
          <w:p w:rsidR="00B31515" w:rsidRDefault="00B31515">
            <w:pPr>
              <w:jc w:val="center"/>
              <w:rPr>
                <w:rFonts w:asciiTheme="minorEastAsia" w:hAnsiTheme="minorEastAsia" w:cstheme="minorEastAsia"/>
                <w:szCs w:val="21"/>
              </w:rPr>
            </w:pPr>
          </w:p>
        </w:tc>
        <w:tc>
          <w:tcPr>
            <w:tcW w:w="552" w:type="dxa"/>
            <w:vMerge w:val="restart"/>
            <w:vAlign w:val="center"/>
          </w:tcPr>
          <w:p w:rsidR="00B31515" w:rsidRDefault="00B31515">
            <w:pPr>
              <w:jc w:val="center"/>
              <w:rPr>
                <w:rFonts w:asciiTheme="minorEastAsia" w:hAnsiTheme="minorEastAsia" w:cstheme="minorEastAsia"/>
                <w:sz w:val="20"/>
                <w:szCs w:val="20"/>
              </w:rPr>
            </w:pPr>
          </w:p>
        </w:tc>
        <w:tc>
          <w:tcPr>
            <w:tcW w:w="540" w:type="dxa"/>
            <w:vMerge w:val="restart"/>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1</w:t>
            </w:r>
          </w:p>
        </w:tc>
        <w:tc>
          <w:tcPr>
            <w:tcW w:w="365" w:type="dxa"/>
            <w:vMerge w:val="restart"/>
            <w:vAlign w:val="center"/>
          </w:tcPr>
          <w:p w:rsidR="00B31515" w:rsidRDefault="00B31515">
            <w:pPr>
              <w:jc w:val="center"/>
              <w:rPr>
                <w:rFonts w:asciiTheme="minorEastAsia" w:hAnsiTheme="minorEastAsia" w:cstheme="minorEastAsia"/>
                <w:sz w:val="20"/>
                <w:szCs w:val="20"/>
              </w:rPr>
            </w:pPr>
          </w:p>
        </w:tc>
        <w:tc>
          <w:tcPr>
            <w:tcW w:w="1025" w:type="dxa"/>
            <w:tcBorders>
              <w:bottom w:val="single" w:sz="4" w:space="0" w:color="auto"/>
            </w:tcBorders>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工程技术</w:t>
            </w:r>
          </w:p>
        </w:tc>
        <w:tc>
          <w:tcPr>
            <w:tcW w:w="483"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0"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0"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Cs w:val="21"/>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Cs w:val="21"/>
              </w:rPr>
            </w:pPr>
          </w:p>
        </w:tc>
        <w:tc>
          <w:tcPr>
            <w:tcW w:w="542" w:type="dxa"/>
            <w:tcBorders>
              <w:bottom w:val="single" w:sz="4" w:space="0" w:color="auto"/>
            </w:tcBorders>
            <w:vAlign w:val="center"/>
          </w:tcPr>
          <w:p w:rsidR="00B31515" w:rsidRDefault="00B31515">
            <w:pPr>
              <w:jc w:val="center"/>
              <w:rPr>
                <w:rFonts w:asciiTheme="minorEastAsia" w:hAnsiTheme="minorEastAsia" w:cstheme="minorEastAsia"/>
                <w:szCs w:val="21"/>
              </w:rPr>
            </w:pPr>
          </w:p>
        </w:tc>
        <w:tc>
          <w:tcPr>
            <w:tcW w:w="483" w:type="dxa"/>
            <w:tcBorders>
              <w:bottom w:val="single" w:sz="4" w:space="0" w:color="auto"/>
            </w:tcBorders>
            <w:vAlign w:val="center"/>
          </w:tcPr>
          <w:p w:rsidR="00B31515" w:rsidRDefault="00B31515">
            <w:pPr>
              <w:jc w:val="center"/>
              <w:rPr>
                <w:rFonts w:asciiTheme="minorEastAsia" w:hAnsiTheme="minorEastAsia" w:cstheme="minorEastAsia"/>
                <w:szCs w:val="21"/>
              </w:rPr>
            </w:pPr>
          </w:p>
        </w:tc>
      </w:tr>
      <w:tr w:rsidR="00B31515">
        <w:trPr>
          <w:trHeight w:val="624"/>
        </w:trPr>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52" w:type="dxa"/>
            <w:vMerge/>
            <w:vAlign w:val="center"/>
          </w:tcPr>
          <w:p w:rsidR="00B31515" w:rsidRDefault="00B31515">
            <w:pPr>
              <w:jc w:val="center"/>
              <w:rPr>
                <w:rFonts w:asciiTheme="minorEastAsia" w:hAnsiTheme="minorEastAsia" w:cstheme="minorEastAsia"/>
                <w:sz w:val="20"/>
                <w:szCs w:val="20"/>
              </w:rPr>
            </w:pPr>
          </w:p>
        </w:tc>
        <w:tc>
          <w:tcPr>
            <w:tcW w:w="540" w:type="dxa"/>
            <w:vMerge/>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365" w:type="dxa"/>
            <w:vMerge/>
            <w:vAlign w:val="center"/>
          </w:tcPr>
          <w:p w:rsidR="00B31515" w:rsidRDefault="00B31515">
            <w:pPr>
              <w:jc w:val="center"/>
              <w:rPr>
                <w:rFonts w:asciiTheme="minorEastAsia" w:hAnsiTheme="minorEastAsia" w:cstheme="minorEastAsia"/>
                <w:sz w:val="20"/>
                <w:szCs w:val="20"/>
              </w:rPr>
            </w:pPr>
          </w:p>
        </w:tc>
        <w:tc>
          <w:tcPr>
            <w:tcW w:w="1025" w:type="dxa"/>
            <w:tcBorders>
              <w:top w:val="single" w:sz="4" w:space="0" w:color="auto"/>
              <w:bottom w:val="single" w:sz="4" w:space="0" w:color="auto"/>
            </w:tcBorders>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管理措施</w:t>
            </w:r>
          </w:p>
        </w:tc>
        <w:tc>
          <w:tcPr>
            <w:tcW w:w="483"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483"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r>
      <w:tr w:rsidR="00B31515">
        <w:trPr>
          <w:trHeight w:val="624"/>
        </w:trPr>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52" w:type="dxa"/>
            <w:vMerge/>
            <w:vAlign w:val="center"/>
          </w:tcPr>
          <w:p w:rsidR="00B31515" w:rsidRDefault="00B31515">
            <w:pPr>
              <w:jc w:val="center"/>
              <w:rPr>
                <w:rFonts w:asciiTheme="minorEastAsia" w:hAnsiTheme="minorEastAsia" w:cstheme="minorEastAsia"/>
                <w:sz w:val="20"/>
                <w:szCs w:val="20"/>
              </w:rPr>
            </w:pPr>
          </w:p>
        </w:tc>
        <w:tc>
          <w:tcPr>
            <w:tcW w:w="540" w:type="dxa"/>
            <w:vMerge/>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365" w:type="dxa"/>
            <w:vMerge/>
            <w:vAlign w:val="center"/>
          </w:tcPr>
          <w:p w:rsidR="00B31515" w:rsidRDefault="00B31515">
            <w:pPr>
              <w:jc w:val="center"/>
              <w:rPr>
                <w:rFonts w:asciiTheme="minorEastAsia" w:hAnsiTheme="minorEastAsia" w:cstheme="minorEastAsia"/>
                <w:sz w:val="20"/>
                <w:szCs w:val="20"/>
              </w:rPr>
            </w:pPr>
          </w:p>
        </w:tc>
        <w:tc>
          <w:tcPr>
            <w:tcW w:w="1025" w:type="dxa"/>
            <w:tcBorders>
              <w:top w:val="single" w:sz="4" w:space="0" w:color="auto"/>
              <w:bottom w:val="single" w:sz="4" w:space="0" w:color="auto"/>
            </w:tcBorders>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培训教育</w:t>
            </w:r>
          </w:p>
        </w:tc>
        <w:tc>
          <w:tcPr>
            <w:tcW w:w="483"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483"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r>
      <w:tr w:rsidR="00B31515">
        <w:trPr>
          <w:trHeight w:val="624"/>
        </w:trPr>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52" w:type="dxa"/>
            <w:vMerge/>
            <w:vAlign w:val="center"/>
          </w:tcPr>
          <w:p w:rsidR="00B31515" w:rsidRDefault="00B31515">
            <w:pPr>
              <w:jc w:val="center"/>
              <w:rPr>
                <w:rFonts w:asciiTheme="minorEastAsia" w:hAnsiTheme="minorEastAsia" w:cstheme="minorEastAsia"/>
                <w:sz w:val="20"/>
                <w:szCs w:val="20"/>
              </w:rPr>
            </w:pPr>
          </w:p>
        </w:tc>
        <w:tc>
          <w:tcPr>
            <w:tcW w:w="540" w:type="dxa"/>
            <w:vMerge/>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365" w:type="dxa"/>
            <w:vMerge/>
            <w:vAlign w:val="center"/>
          </w:tcPr>
          <w:p w:rsidR="00B31515" w:rsidRDefault="00B31515">
            <w:pPr>
              <w:jc w:val="center"/>
              <w:rPr>
                <w:rFonts w:asciiTheme="minorEastAsia" w:hAnsiTheme="minorEastAsia" w:cstheme="minorEastAsia"/>
                <w:sz w:val="20"/>
                <w:szCs w:val="20"/>
              </w:rPr>
            </w:pPr>
          </w:p>
        </w:tc>
        <w:tc>
          <w:tcPr>
            <w:tcW w:w="1025" w:type="dxa"/>
            <w:tcBorders>
              <w:top w:val="single" w:sz="4" w:space="0" w:color="auto"/>
              <w:bottom w:val="single" w:sz="4" w:space="0" w:color="auto"/>
            </w:tcBorders>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个体防护</w:t>
            </w:r>
          </w:p>
        </w:tc>
        <w:tc>
          <w:tcPr>
            <w:tcW w:w="483"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483"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r>
      <w:tr w:rsidR="00B31515">
        <w:trPr>
          <w:trHeight w:val="624"/>
        </w:trPr>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52" w:type="dxa"/>
            <w:vMerge/>
            <w:vAlign w:val="center"/>
          </w:tcPr>
          <w:p w:rsidR="00B31515" w:rsidRDefault="00B31515">
            <w:pPr>
              <w:jc w:val="center"/>
              <w:rPr>
                <w:rFonts w:asciiTheme="minorEastAsia" w:hAnsiTheme="minorEastAsia" w:cstheme="minorEastAsia"/>
                <w:sz w:val="20"/>
                <w:szCs w:val="20"/>
              </w:rPr>
            </w:pPr>
          </w:p>
        </w:tc>
        <w:tc>
          <w:tcPr>
            <w:tcW w:w="540" w:type="dxa"/>
            <w:vMerge/>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365" w:type="dxa"/>
            <w:vMerge/>
            <w:tcBorders>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1025" w:type="dxa"/>
            <w:tcBorders>
              <w:top w:val="single" w:sz="4" w:space="0" w:color="auto"/>
              <w:bottom w:val="single" w:sz="4" w:space="0" w:color="auto"/>
            </w:tcBorders>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应急处置</w:t>
            </w:r>
          </w:p>
        </w:tc>
        <w:tc>
          <w:tcPr>
            <w:tcW w:w="483"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483"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r>
      <w:tr w:rsidR="00B31515">
        <w:trPr>
          <w:trHeight w:val="699"/>
        </w:trPr>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41" w:type="dxa"/>
            <w:vMerge/>
            <w:vAlign w:val="center"/>
          </w:tcPr>
          <w:p w:rsidR="00B31515" w:rsidRDefault="00B31515">
            <w:pPr>
              <w:jc w:val="center"/>
              <w:rPr>
                <w:rFonts w:asciiTheme="minorEastAsia" w:hAnsiTheme="minorEastAsia" w:cstheme="minorEastAsia"/>
                <w:szCs w:val="21"/>
              </w:rPr>
            </w:pPr>
          </w:p>
        </w:tc>
        <w:tc>
          <w:tcPr>
            <w:tcW w:w="552" w:type="dxa"/>
            <w:vMerge/>
            <w:vAlign w:val="center"/>
          </w:tcPr>
          <w:p w:rsidR="00B31515" w:rsidRDefault="00B31515">
            <w:pPr>
              <w:jc w:val="center"/>
              <w:rPr>
                <w:rFonts w:asciiTheme="minorEastAsia" w:hAnsiTheme="minorEastAsia" w:cstheme="minorEastAsia"/>
                <w:sz w:val="20"/>
                <w:szCs w:val="20"/>
              </w:rPr>
            </w:pPr>
          </w:p>
        </w:tc>
        <w:tc>
          <w:tcPr>
            <w:tcW w:w="540" w:type="dxa"/>
            <w:tcBorders>
              <w:top w:val="single" w:sz="4" w:space="0" w:color="auto"/>
              <w:bottom w:val="single" w:sz="4" w:space="0" w:color="auto"/>
            </w:tcBorders>
            <w:vAlign w:val="center"/>
          </w:tcPr>
          <w:p w:rsidR="00B31515" w:rsidRDefault="000C6CAF">
            <w:pPr>
              <w:jc w:val="center"/>
              <w:rPr>
                <w:rFonts w:asciiTheme="minorEastAsia" w:hAnsiTheme="minorEastAsia" w:cstheme="minorEastAsia"/>
                <w:sz w:val="20"/>
                <w:szCs w:val="20"/>
              </w:rPr>
            </w:pPr>
            <w:r>
              <w:rPr>
                <w:rFonts w:asciiTheme="minorEastAsia" w:hAnsiTheme="minorEastAsia" w:cstheme="minorEastAsia" w:hint="eastAsia"/>
                <w:sz w:val="20"/>
                <w:szCs w:val="20"/>
              </w:rPr>
              <w:t>2</w:t>
            </w:r>
          </w:p>
        </w:tc>
        <w:tc>
          <w:tcPr>
            <w:tcW w:w="365"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1025"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483"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0"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 w:val="20"/>
                <w:szCs w:val="20"/>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542"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c>
          <w:tcPr>
            <w:tcW w:w="483" w:type="dxa"/>
            <w:tcBorders>
              <w:top w:val="single" w:sz="4" w:space="0" w:color="auto"/>
              <w:bottom w:val="single" w:sz="4" w:space="0" w:color="auto"/>
            </w:tcBorders>
            <w:vAlign w:val="center"/>
          </w:tcPr>
          <w:p w:rsidR="00B31515" w:rsidRDefault="00B31515">
            <w:pPr>
              <w:jc w:val="center"/>
              <w:rPr>
                <w:rFonts w:asciiTheme="minorEastAsia" w:hAnsiTheme="minorEastAsia" w:cstheme="minorEastAsia"/>
                <w:szCs w:val="21"/>
              </w:rPr>
            </w:pPr>
          </w:p>
        </w:tc>
      </w:tr>
    </w:tbl>
    <w:p w:rsidR="00B31515" w:rsidRDefault="00B31515">
      <w:pPr>
        <w:rPr>
          <w:rFonts w:asciiTheme="minorEastAsia" w:hAnsiTheme="minorEastAsia" w:cstheme="minorEastAsia"/>
          <w:b/>
          <w:bCs/>
          <w:kern w:val="44"/>
          <w:sz w:val="32"/>
          <w:szCs w:val="32"/>
        </w:rPr>
      </w:pPr>
    </w:p>
    <w:p w:rsidR="00B31515" w:rsidRDefault="000C6CAF">
      <w:pPr>
        <w:rPr>
          <w:rFonts w:asciiTheme="minorEastAsia" w:hAnsiTheme="minorEastAsia" w:cstheme="minorEastAsia"/>
          <w:b/>
          <w:bCs/>
          <w:kern w:val="44"/>
          <w:sz w:val="32"/>
          <w:szCs w:val="32"/>
        </w:rPr>
      </w:pPr>
      <w:bookmarkStart w:id="68" w:name="_Toc20968"/>
      <w:bookmarkStart w:id="69" w:name="_Toc882"/>
      <w:r>
        <w:rPr>
          <w:rFonts w:asciiTheme="minorEastAsia" w:hAnsiTheme="minorEastAsia" w:cstheme="minorEastAsia" w:hint="eastAsia"/>
          <w:b/>
          <w:bCs/>
          <w:kern w:val="44"/>
          <w:sz w:val="32"/>
          <w:szCs w:val="32"/>
        </w:rPr>
        <w:lastRenderedPageBreak/>
        <w:t>附录</w:t>
      </w:r>
      <w:r>
        <w:rPr>
          <w:rFonts w:asciiTheme="minorEastAsia" w:hAnsiTheme="minorEastAsia" w:cstheme="minorEastAsia" w:hint="eastAsia"/>
          <w:b/>
          <w:bCs/>
          <w:kern w:val="44"/>
          <w:sz w:val="32"/>
          <w:szCs w:val="32"/>
        </w:rPr>
        <w:t xml:space="preserve">4 </w:t>
      </w:r>
      <w:r>
        <w:rPr>
          <w:rFonts w:asciiTheme="minorEastAsia" w:hAnsiTheme="minorEastAsia" w:cstheme="minorEastAsia" w:hint="eastAsia"/>
          <w:b/>
          <w:bCs/>
          <w:kern w:val="44"/>
          <w:sz w:val="32"/>
          <w:szCs w:val="32"/>
        </w:rPr>
        <w:t>基础管理类隐患排查治理台帐</w:t>
      </w:r>
      <w:bookmarkEnd w:id="68"/>
      <w:bookmarkEnd w:id="69"/>
    </w:p>
    <w:tbl>
      <w:tblPr>
        <w:tblW w:w="14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5"/>
        <w:gridCol w:w="1060"/>
        <w:gridCol w:w="885"/>
        <w:gridCol w:w="655"/>
        <w:gridCol w:w="654"/>
        <w:gridCol w:w="654"/>
        <w:gridCol w:w="669"/>
        <w:gridCol w:w="654"/>
        <w:gridCol w:w="657"/>
        <w:gridCol w:w="657"/>
        <w:gridCol w:w="657"/>
        <w:gridCol w:w="657"/>
        <w:gridCol w:w="657"/>
        <w:gridCol w:w="614"/>
        <w:gridCol w:w="657"/>
        <w:gridCol w:w="657"/>
        <w:gridCol w:w="657"/>
        <w:gridCol w:w="657"/>
        <w:gridCol w:w="657"/>
        <w:gridCol w:w="657"/>
        <w:gridCol w:w="623"/>
      </w:tblGrid>
      <w:tr w:rsidR="00B31515">
        <w:trPr>
          <w:trHeight w:val="493"/>
          <w:jc w:val="center"/>
        </w:trPr>
        <w:tc>
          <w:tcPr>
            <w:tcW w:w="5232" w:type="dxa"/>
            <w:gridSpan w:val="7"/>
            <w:tcBorders>
              <w:top w:val="single" w:sz="4" w:space="0" w:color="auto"/>
              <w:left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计划过程</w:t>
            </w:r>
          </w:p>
        </w:tc>
        <w:tc>
          <w:tcPr>
            <w:tcW w:w="3939" w:type="dxa"/>
            <w:gridSpan w:val="6"/>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排查过程</w:t>
            </w:r>
          </w:p>
        </w:tc>
        <w:tc>
          <w:tcPr>
            <w:tcW w:w="3242" w:type="dxa"/>
            <w:gridSpan w:val="5"/>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整改过程</w:t>
            </w:r>
          </w:p>
        </w:tc>
        <w:tc>
          <w:tcPr>
            <w:tcW w:w="1937" w:type="dxa"/>
            <w:gridSpan w:val="3"/>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验收过程</w:t>
            </w:r>
          </w:p>
        </w:tc>
      </w:tr>
      <w:tr w:rsidR="00B31515">
        <w:trPr>
          <w:trHeight w:val="1081"/>
          <w:jc w:val="center"/>
        </w:trPr>
        <w:tc>
          <w:tcPr>
            <w:tcW w:w="655" w:type="dxa"/>
            <w:tcBorders>
              <w:left w:val="single" w:sz="4" w:space="0" w:color="auto"/>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序号</w:t>
            </w:r>
          </w:p>
        </w:tc>
        <w:tc>
          <w:tcPr>
            <w:tcW w:w="1060"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排查项目</w:t>
            </w:r>
          </w:p>
        </w:tc>
        <w:tc>
          <w:tcPr>
            <w:tcW w:w="885"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排查内容与排查标准</w:t>
            </w:r>
          </w:p>
        </w:tc>
        <w:tc>
          <w:tcPr>
            <w:tcW w:w="655"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排查</w:t>
            </w:r>
          </w:p>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类型</w:t>
            </w:r>
          </w:p>
        </w:tc>
        <w:tc>
          <w:tcPr>
            <w:tcW w:w="654"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排查</w:t>
            </w:r>
          </w:p>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周期</w:t>
            </w:r>
          </w:p>
        </w:tc>
        <w:tc>
          <w:tcPr>
            <w:tcW w:w="654"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责任</w:t>
            </w:r>
          </w:p>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单位</w:t>
            </w:r>
          </w:p>
        </w:tc>
        <w:tc>
          <w:tcPr>
            <w:tcW w:w="669"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责任人</w:t>
            </w:r>
          </w:p>
        </w:tc>
        <w:tc>
          <w:tcPr>
            <w:tcW w:w="654"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排查</w:t>
            </w:r>
          </w:p>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结果</w:t>
            </w:r>
          </w:p>
        </w:tc>
        <w:tc>
          <w:tcPr>
            <w:tcW w:w="657"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隐患</w:t>
            </w:r>
          </w:p>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描述</w:t>
            </w:r>
          </w:p>
        </w:tc>
        <w:tc>
          <w:tcPr>
            <w:tcW w:w="657"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隐患</w:t>
            </w:r>
          </w:p>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级别</w:t>
            </w:r>
          </w:p>
        </w:tc>
        <w:tc>
          <w:tcPr>
            <w:tcW w:w="657"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排查人</w:t>
            </w:r>
          </w:p>
        </w:tc>
        <w:tc>
          <w:tcPr>
            <w:tcW w:w="657"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排查</w:t>
            </w:r>
          </w:p>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时间</w:t>
            </w:r>
          </w:p>
        </w:tc>
        <w:tc>
          <w:tcPr>
            <w:tcW w:w="657"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形成原因分析</w:t>
            </w:r>
          </w:p>
        </w:tc>
        <w:tc>
          <w:tcPr>
            <w:tcW w:w="614"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整改</w:t>
            </w:r>
          </w:p>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措施</w:t>
            </w:r>
          </w:p>
        </w:tc>
        <w:tc>
          <w:tcPr>
            <w:tcW w:w="657"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整改责任单位</w:t>
            </w:r>
          </w:p>
        </w:tc>
        <w:tc>
          <w:tcPr>
            <w:tcW w:w="657"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整改责任人</w:t>
            </w:r>
          </w:p>
        </w:tc>
        <w:tc>
          <w:tcPr>
            <w:tcW w:w="657"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整改</w:t>
            </w:r>
          </w:p>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期限</w:t>
            </w:r>
          </w:p>
        </w:tc>
        <w:tc>
          <w:tcPr>
            <w:tcW w:w="657"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资金额</w:t>
            </w:r>
          </w:p>
        </w:tc>
        <w:tc>
          <w:tcPr>
            <w:tcW w:w="657"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验收</w:t>
            </w:r>
          </w:p>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时间</w:t>
            </w:r>
          </w:p>
        </w:tc>
        <w:tc>
          <w:tcPr>
            <w:tcW w:w="657"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验收人</w:t>
            </w:r>
          </w:p>
        </w:tc>
        <w:tc>
          <w:tcPr>
            <w:tcW w:w="623"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验收</w:t>
            </w:r>
          </w:p>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情况</w:t>
            </w:r>
          </w:p>
        </w:tc>
      </w:tr>
      <w:tr w:rsidR="00B31515">
        <w:trPr>
          <w:trHeight w:val="683"/>
          <w:jc w:val="center"/>
        </w:trPr>
        <w:tc>
          <w:tcPr>
            <w:tcW w:w="655" w:type="dxa"/>
            <w:vMerge w:val="restart"/>
            <w:tcBorders>
              <w:left w:val="single" w:sz="4" w:space="0" w:color="auto"/>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1060" w:type="dxa"/>
            <w:vMerge w:val="restart"/>
            <w:tcBorders>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生产经营单位资质证照</w:t>
            </w:r>
          </w:p>
        </w:tc>
        <w:tc>
          <w:tcPr>
            <w:tcW w:w="885"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5"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69"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1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23"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r>
      <w:tr w:rsidR="00B31515">
        <w:trPr>
          <w:trHeight w:val="708"/>
          <w:jc w:val="center"/>
        </w:trPr>
        <w:tc>
          <w:tcPr>
            <w:tcW w:w="655" w:type="dxa"/>
            <w:vMerge/>
            <w:tcBorders>
              <w:left w:val="single" w:sz="4" w:space="0" w:color="auto"/>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1060" w:type="dxa"/>
            <w:vMerge/>
            <w:tcBorders>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885"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w:t>
            </w:r>
          </w:p>
        </w:tc>
        <w:tc>
          <w:tcPr>
            <w:tcW w:w="655"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69"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1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23"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r>
      <w:tr w:rsidR="00B31515">
        <w:trPr>
          <w:trHeight w:val="690"/>
          <w:jc w:val="center"/>
        </w:trPr>
        <w:tc>
          <w:tcPr>
            <w:tcW w:w="655" w:type="dxa"/>
            <w:vMerge w:val="restart"/>
            <w:tcBorders>
              <w:top w:val="single" w:sz="4" w:space="0" w:color="auto"/>
              <w:left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1060" w:type="dxa"/>
            <w:vMerge w:val="restart"/>
            <w:tcBorders>
              <w:top w:val="single" w:sz="4" w:space="0" w:color="auto"/>
              <w:left w:val="nil"/>
              <w:right w:val="single" w:sz="4" w:space="0" w:color="auto"/>
            </w:tcBorders>
            <w:vAlign w:val="center"/>
          </w:tcPr>
          <w:p w:rsidR="00B31515" w:rsidRDefault="00B31515">
            <w:pPr>
              <w:jc w:val="center"/>
              <w:rPr>
                <w:rFonts w:asciiTheme="minorEastAsia" w:hAnsiTheme="minorEastAsia" w:cstheme="minorEastAsia"/>
                <w:szCs w:val="21"/>
              </w:rPr>
            </w:pPr>
          </w:p>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安全生产管理机构及人员</w:t>
            </w:r>
          </w:p>
        </w:tc>
        <w:tc>
          <w:tcPr>
            <w:tcW w:w="885"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5"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69"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1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23"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r>
      <w:tr w:rsidR="00B31515">
        <w:trPr>
          <w:trHeight w:val="1141"/>
          <w:jc w:val="center"/>
        </w:trPr>
        <w:tc>
          <w:tcPr>
            <w:tcW w:w="655" w:type="dxa"/>
            <w:vMerge/>
            <w:tcBorders>
              <w:left w:val="single" w:sz="4" w:space="0" w:color="auto"/>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1060" w:type="dxa"/>
            <w:vMerge/>
            <w:tcBorders>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885"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w:t>
            </w:r>
          </w:p>
        </w:tc>
        <w:tc>
          <w:tcPr>
            <w:tcW w:w="655"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69"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1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23"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r>
      <w:tr w:rsidR="00B31515">
        <w:trPr>
          <w:trHeight w:val="844"/>
          <w:jc w:val="center"/>
        </w:trPr>
        <w:tc>
          <w:tcPr>
            <w:tcW w:w="655" w:type="dxa"/>
            <w:tcBorders>
              <w:top w:val="single" w:sz="4" w:space="0" w:color="auto"/>
              <w:left w:val="single" w:sz="4" w:space="0" w:color="auto"/>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1060" w:type="dxa"/>
            <w:tcBorders>
              <w:top w:val="single" w:sz="4" w:space="0" w:color="auto"/>
              <w:left w:val="nil"/>
              <w:bottom w:val="single" w:sz="4" w:space="0" w:color="auto"/>
              <w:right w:val="single" w:sz="4" w:space="0" w:color="auto"/>
            </w:tcBorders>
            <w:vAlign w:val="center"/>
          </w:tcPr>
          <w:p w:rsidR="00B31515" w:rsidRDefault="000C6CAF">
            <w:pPr>
              <w:jc w:val="center"/>
              <w:rPr>
                <w:rFonts w:asciiTheme="minorEastAsia" w:hAnsiTheme="minorEastAsia" w:cstheme="minorEastAsia"/>
                <w:szCs w:val="21"/>
              </w:rPr>
            </w:pPr>
            <w:r>
              <w:rPr>
                <w:rFonts w:asciiTheme="minorEastAsia" w:hAnsiTheme="minorEastAsia" w:cstheme="minorEastAsia" w:hint="eastAsia"/>
                <w:szCs w:val="21"/>
              </w:rPr>
              <w:t>……</w:t>
            </w:r>
          </w:p>
        </w:tc>
        <w:tc>
          <w:tcPr>
            <w:tcW w:w="885"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5"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69"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14"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57"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c>
          <w:tcPr>
            <w:tcW w:w="623" w:type="dxa"/>
            <w:tcBorders>
              <w:top w:val="single" w:sz="4" w:space="0" w:color="auto"/>
              <w:left w:val="nil"/>
              <w:bottom w:val="single" w:sz="4" w:space="0" w:color="auto"/>
              <w:right w:val="single" w:sz="4" w:space="0" w:color="auto"/>
            </w:tcBorders>
            <w:vAlign w:val="center"/>
          </w:tcPr>
          <w:p w:rsidR="00B31515" w:rsidRDefault="00B31515">
            <w:pPr>
              <w:jc w:val="center"/>
              <w:rPr>
                <w:rFonts w:asciiTheme="minorEastAsia" w:hAnsiTheme="minorEastAsia" w:cstheme="minorEastAsia"/>
                <w:szCs w:val="21"/>
              </w:rPr>
            </w:pPr>
          </w:p>
        </w:tc>
      </w:tr>
    </w:tbl>
    <w:p w:rsidR="00B31515" w:rsidRDefault="00B31515">
      <w:pPr>
        <w:rPr>
          <w:rFonts w:asciiTheme="minorEastAsia" w:hAnsiTheme="minorEastAsia" w:cstheme="minorEastAsia"/>
          <w:b/>
          <w:bCs/>
          <w:kern w:val="44"/>
          <w:sz w:val="32"/>
          <w:szCs w:val="32"/>
        </w:rPr>
      </w:pPr>
    </w:p>
    <w:sectPr w:rsidR="00B31515" w:rsidSect="00B31515">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515" w:rsidRDefault="00B31515" w:rsidP="00B31515">
      <w:r>
        <w:separator/>
      </w:r>
    </w:p>
  </w:endnote>
  <w:endnote w:type="continuationSeparator" w:id="0">
    <w:p w:rsidR="00B31515" w:rsidRDefault="00B31515" w:rsidP="00B315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CAF" w:rsidRDefault="000C6CA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515" w:rsidRDefault="00B31515">
    <w:pPr>
      <w:pStyle w:val="a8"/>
      <w:jc w:val="center"/>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8240;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B31515" w:rsidRDefault="00B31515">
                <w:pPr>
                  <w:pStyle w:val="a8"/>
                  <w:jc w:val="center"/>
                </w:pPr>
                <w:r>
                  <w:fldChar w:fldCharType="begin"/>
                </w:r>
                <w:r w:rsidR="000C6CAF">
                  <w:instrText xml:space="preserve"> PAGE  </w:instrText>
                </w:r>
                <w:r w:rsidR="000C6CAF">
                  <w:instrText xml:space="preserve"> \* MERGEFORMAT </w:instrText>
                </w:r>
                <w:r>
                  <w:fldChar w:fldCharType="separate"/>
                </w:r>
                <w:r w:rsidR="000C6CAF">
                  <w:rPr>
                    <w:noProof/>
                  </w:rPr>
                  <w:t>1</w:t>
                </w:r>
                <w:r>
                  <w:fldChar w:fldCharType="end"/>
                </w:r>
              </w:p>
            </w:txbxContent>
          </v:textbox>
          <w10:wrap anchorx="margin"/>
        </v:shape>
      </w:pict>
    </w:r>
  </w:p>
  <w:p w:rsidR="00B31515" w:rsidRDefault="00B31515">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CAF" w:rsidRDefault="000C6CAF">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515" w:rsidRDefault="00B31515">
    <w:pPr>
      <w:pStyle w:val="a8"/>
      <w:jc w:val="center"/>
    </w:pPr>
    <w: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B31515" w:rsidRDefault="00B31515">
                <w:pPr>
                  <w:pStyle w:val="a8"/>
                  <w:jc w:val="center"/>
                </w:pPr>
                <w:r>
                  <w:fldChar w:fldCharType="begin"/>
                </w:r>
                <w:r w:rsidR="000C6CAF">
                  <w:instrText xml:space="preserve"> PAGE   \* MERGEFORMAT </w:instrText>
                </w:r>
                <w:r>
                  <w:fldChar w:fldCharType="separate"/>
                </w:r>
                <w:r w:rsidR="000C6CAF">
                  <w:rPr>
                    <w:noProof/>
                  </w:rPr>
                  <w:t>14</w:t>
                </w:r>
                <w:r>
                  <w:fldChar w:fldCharType="end"/>
                </w:r>
              </w:p>
            </w:txbxContent>
          </v:textbox>
          <w10:wrap anchorx="margin"/>
        </v:shape>
      </w:pict>
    </w:r>
  </w:p>
  <w:p w:rsidR="00B31515" w:rsidRDefault="00B3151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515" w:rsidRDefault="00B31515" w:rsidP="00B31515">
      <w:r>
        <w:separator/>
      </w:r>
    </w:p>
  </w:footnote>
  <w:footnote w:type="continuationSeparator" w:id="0">
    <w:p w:rsidR="00B31515" w:rsidRDefault="00B31515" w:rsidP="00B315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CAF" w:rsidRDefault="000C6CAF">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4699" o:spid="_x0000_s1031" type="#_x0000_t136" style="position:absolute;left:0;text-align:left;margin-left:0;margin-top:0;width:596.15pt;height:35.05pt;rotation:315;z-index:-251653120;mso-position-horizontal:center;mso-position-horizontal-relative:margin;mso-position-vertical:center;mso-position-vertical-relative:margin" o:allowincell="f" fillcolor="black" stroked="f">
          <v:fill opacity=".5"/>
          <v:textpath style="font-family:&quot;宋体&quot;;font-size:1pt" string="护君安全，安全设施设计、销售、安装"/>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515" w:rsidRDefault="000C6CAF">
    <w:pPr>
      <w:pStyle w:val="a9"/>
      <w:pBdr>
        <w:bottom w:val="none" w:sz="0" w:space="1" w:color="auto"/>
      </w:pBdr>
      <w:jc w:val="both"/>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4700" o:spid="_x0000_s1032" type="#_x0000_t136" style="position:absolute;left:0;text-align:left;margin-left:0;margin-top:0;width:596.15pt;height:35.05pt;rotation:315;z-index:-251651072;mso-position-horizontal:center;mso-position-horizontal-relative:margin;mso-position-vertical:center;mso-position-vertical-relative:margin" o:allowincell="f" fillcolor="black" stroked="f">
          <v:fill opacity=".5"/>
          <v:textpath style="font-family:&quot;宋体&quot;;font-size:1pt" string="护君安全，安全设施设计、销售、安装"/>
        </v:shape>
      </w:pict>
    </w:r>
    <w:r>
      <w:rPr>
        <w:rFonts w:hint="eastAsia"/>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CAF" w:rsidRDefault="000C6CAF">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4698" o:spid="_x0000_s1030" type="#_x0000_t136" style="position:absolute;left:0;text-align:left;margin-left:0;margin-top:0;width:596.15pt;height:35.05pt;rotation:315;z-index:-251655168;mso-position-horizontal:center;mso-position-horizontal-relative:margin;mso-position-vertical:center;mso-position-vertical-relative:margin" o:allowincell="f" fillcolor="black" stroked="f">
          <v:fill opacity=".5"/>
          <v:textpath style="font-family:&quot;宋体&quot;;font-size:1pt" string="护君安全，安全设施设计、销售、安装"/>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CAF" w:rsidRDefault="000C6CAF">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4702" o:spid="_x0000_s1034" type="#_x0000_t136" style="position:absolute;left:0;text-align:left;margin-left:0;margin-top:0;width:596.15pt;height:35.05pt;rotation:315;z-index:-251646976;mso-position-horizontal:center;mso-position-horizontal-relative:margin;mso-position-vertical:center;mso-position-vertical-relative:margin" o:allowincell="f" fillcolor="black" stroked="f">
          <v:fill opacity=".5"/>
          <v:textpath style="font-family:&quot;宋体&quot;;font-size:1pt" string="护君安全，安全设施设计、销售、安装"/>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515" w:rsidRDefault="000C6CAF">
    <w:pPr>
      <w:pStyle w:val="a9"/>
      <w:pBdr>
        <w:bottom w:val="none" w:sz="0" w:space="1" w:color="auto"/>
      </w:pBdr>
      <w:jc w:val="both"/>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4703" o:spid="_x0000_s1035" type="#_x0000_t136" style="position:absolute;left:0;text-align:left;margin-left:0;margin-top:0;width:596.15pt;height:35.05pt;rotation:315;z-index:-251644928;mso-position-horizontal:center;mso-position-horizontal-relative:margin;mso-position-vertical:center;mso-position-vertical-relative:margin" o:allowincell="f" fillcolor="black" stroked="f">
          <v:fill opacity=".5"/>
          <v:textpath style="font-family:&quot;宋体&quot;;font-size:1pt" string="护君安全，安全设施设计、销售、安装"/>
        </v:shape>
      </w:pict>
    </w:r>
    <w:r>
      <w:rPr>
        <w:rFonts w:hint="eastAsia"/>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CAF" w:rsidRDefault="000C6CAF">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84701" o:spid="_x0000_s1033" type="#_x0000_t136" style="position:absolute;left:0;text-align:left;margin-left:0;margin-top:0;width:596.15pt;height:35.05pt;rotation:315;z-index:-251649024;mso-position-horizontal:center;mso-position-horizontal-relative:margin;mso-position-vertical:center;mso-position-vertical-relative:margin" o:allowincell="f" fillcolor="black" stroked="f">
          <v:fill opacity=".5"/>
          <v:textpath style="font-family:&quot;宋体&quot;;font-size:1pt" string="护君安全，安全设施设计、销售、安装"/>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34D3"/>
    <w:multiLevelType w:val="multilevel"/>
    <w:tmpl w:val="002534D3"/>
    <w:lvl w:ilvl="0">
      <w:start w:val="1"/>
      <w:numFmt w:val="decimal"/>
      <w:lvlText w:val="%1、"/>
      <w:lvlJc w:val="left"/>
      <w:pPr>
        <w:ind w:left="360" w:hanging="360"/>
      </w:pPr>
      <w:rPr>
        <w:rFonts w:hint="default"/>
      </w:rPr>
    </w:lvl>
    <w:lvl w:ilvl="1">
      <w:start w:val="1"/>
      <w:numFmt w:val="lowerLetter"/>
      <w:pStyle w:val="a"/>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6A8605D"/>
    <w:multiLevelType w:val="multilevel"/>
    <w:tmpl w:val="16A8605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49A5290"/>
    <w:multiLevelType w:val="multilevel"/>
    <w:tmpl w:val="249A5290"/>
    <w:lvl w:ilvl="0">
      <w:start w:val="1"/>
      <w:numFmt w:val="decimal"/>
      <w:pStyle w:val="a0"/>
      <w:lvlText w:val="%1、"/>
      <w:lvlJc w:val="left"/>
      <w:pPr>
        <w:ind w:left="360" w:hanging="360"/>
      </w:pPr>
      <w:rPr>
        <w:rFonts w:ascii="Times New Roman" w:eastAsia="仿宋_GB2312" w:hAnsi="Times New Roman" w:cs="Times New Roman"/>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052C1F"/>
    <w:multiLevelType w:val="multilevel"/>
    <w:tmpl w:val="4C052C1F"/>
    <w:lvl w:ilvl="0">
      <w:start w:val="1"/>
      <w:numFmt w:val="decimal"/>
      <w:pStyle w:val="a1"/>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62C325B9"/>
    <w:multiLevelType w:val="multilevel"/>
    <w:tmpl w:val="62C325B9"/>
    <w:lvl w:ilvl="0">
      <w:start w:val="1"/>
      <w:numFmt w:val="decimal"/>
      <w:pStyle w:val="a2"/>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657D3FBC"/>
    <w:multiLevelType w:val="multilevel"/>
    <w:tmpl w:val="657D3FBC"/>
    <w:lvl w:ilvl="0">
      <w:start w:val="1"/>
      <w:numFmt w:val="upperLetter"/>
      <w:pStyle w:val="a3"/>
      <w:suff w:val="nothing"/>
      <w:lvlText w:val="附　录　%1"/>
      <w:lvlJc w:val="left"/>
      <w:pPr>
        <w:ind w:left="4395" w:firstLine="0"/>
      </w:pPr>
      <w:rPr>
        <w:rFonts w:ascii="黑体" w:eastAsia="黑体" w:hAnsi="Times New Roman" w:hint="eastAsia"/>
        <w:b w:val="0"/>
        <w:i w:val="0"/>
        <w:spacing w:val="0"/>
        <w:w w:val="100"/>
        <w:sz w:val="21"/>
      </w:rPr>
    </w:lvl>
    <w:lvl w:ilvl="1">
      <w:start w:val="1"/>
      <w:numFmt w:val="decimal"/>
      <w:suff w:val="nothing"/>
      <w:lvlText w:val="%1.%2　"/>
      <w:lvlJc w:val="left"/>
      <w:pPr>
        <w:ind w:left="4395"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4395" w:firstLine="0"/>
      </w:pPr>
      <w:rPr>
        <w:rFonts w:ascii="黑体" w:eastAsia="黑体" w:hAnsi="Times New Roman" w:hint="eastAsia"/>
        <w:b w:val="0"/>
        <w:i w:val="0"/>
        <w:sz w:val="21"/>
      </w:rPr>
    </w:lvl>
    <w:lvl w:ilvl="3">
      <w:start w:val="1"/>
      <w:numFmt w:val="decimal"/>
      <w:suff w:val="nothing"/>
      <w:lvlText w:val="%1.%2.%3.%4　"/>
      <w:lvlJc w:val="left"/>
      <w:pPr>
        <w:ind w:left="4395" w:firstLine="0"/>
      </w:pPr>
      <w:rPr>
        <w:rFonts w:ascii="黑体" w:eastAsia="黑体" w:hAnsi="Times New Roman" w:hint="eastAsia"/>
        <w:b w:val="0"/>
        <w:i w:val="0"/>
        <w:sz w:val="21"/>
      </w:rPr>
    </w:lvl>
    <w:lvl w:ilvl="4">
      <w:start w:val="1"/>
      <w:numFmt w:val="decimal"/>
      <w:suff w:val="nothing"/>
      <w:lvlText w:val="%1.%2.%3.%4.%5　"/>
      <w:lvlJc w:val="left"/>
      <w:pPr>
        <w:ind w:left="4395" w:firstLine="0"/>
      </w:pPr>
      <w:rPr>
        <w:rFonts w:ascii="黑体" w:eastAsia="黑体" w:hAnsi="Times New Roman" w:hint="eastAsia"/>
        <w:b w:val="0"/>
        <w:i w:val="0"/>
        <w:sz w:val="21"/>
      </w:rPr>
    </w:lvl>
    <w:lvl w:ilvl="5">
      <w:start w:val="1"/>
      <w:numFmt w:val="decimal"/>
      <w:suff w:val="nothing"/>
      <w:lvlText w:val="%1.%2.%3.%4.%5.%6　"/>
      <w:lvlJc w:val="left"/>
      <w:pPr>
        <w:ind w:left="4395" w:firstLine="0"/>
      </w:pPr>
      <w:rPr>
        <w:rFonts w:ascii="黑体" w:eastAsia="黑体" w:hAnsi="Times New Roman" w:hint="eastAsia"/>
        <w:b w:val="0"/>
        <w:i w:val="0"/>
        <w:sz w:val="21"/>
      </w:rPr>
    </w:lvl>
    <w:lvl w:ilvl="6">
      <w:start w:val="1"/>
      <w:numFmt w:val="decimal"/>
      <w:suff w:val="nothing"/>
      <w:lvlText w:val="%1.%2.%3.%4.%5.%6.%7　"/>
      <w:lvlJc w:val="left"/>
      <w:pPr>
        <w:ind w:left="4395" w:firstLine="0"/>
      </w:pPr>
      <w:rPr>
        <w:rFonts w:ascii="黑体" w:eastAsia="黑体" w:hAnsi="Times New Roman" w:hint="eastAsia"/>
        <w:b w:val="0"/>
        <w:i w:val="0"/>
        <w:sz w:val="21"/>
      </w:rPr>
    </w:lvl>
    <w:lvl w:ilvl="7">
      <w:start w:val="1"/>
      <w:numFmt w:val="decimal"/>
      <w:lvlText w:val="%1.%2.%3.%4.%5.%6.%7.%8"/>
      <w:lvlJc w:val="left"/>
      <w:pPr>
        <w:tabs>
          <w:tab w:val="left" w:pos="8789"/>
        </w:tabs>
        <w:ind w:left="8789" w:hanging="1418"/>
      </w:pPr>
      <w:rPr>
        <w:rFonts w:hint="eastAsia"/>
      </w:rPr>
    </w:lvl>
    <w:lvl w:ilvl="8">
      <w:start w:val="1"/>
      <w:numFmt w:val="decimal"/>
      <w:lvlText w:val="%1.%2.%3.%4.%5.%6.%7.%8.%9"/>
      <w:lvlJc w:val="left"/>
      <w:pPr>
        <w:tabs>
          <w:tab w:val="left" w:pos="9497"/>
        </w:tabs>
        <w:ind w:left="9497" w:hanging="1700"/>
      </w:pPr>
      <w:rPr>
        <w:rFonts w:hint="eastAsia"/>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C SYSTEM">
    <w15:presenceInfo w15:providerId="None" w15:userId="MC SYSTEM"/>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49F354F"/>
    <w:rsid w:val="000C6CAF"/>
    <w:rsid w:val="00B31515"/>
    <w:rsid w:val="149F354F"/>
    <w:rsid w:val="18944BFC"/>
    <w:rsid w:val="2E0D556B"/>
    <w:rsid w:val="3B07542B"/>
    <w:rsid w:val="5AAD0449"/>
    <w:rsid w:val="66857AD7"/>
    <w:rsid w:val="6D535020"/>
    <w:rsid w:val="767F21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B31515"/>
    <w:pPr>
      <w:widowControl w:val="0"/>
      <w:jc w:val="both"/>
    </w:pPr>
    <w:rPr>
      <w:rFonts w:asciiTheme="minorHAnsi" w:eastAsiaTheme="minorEastAsia" w:hAnsiTheme="minorHAnsi" w:cstheme="minorBidi"/>
      <w:kern w:val="2"/>
      <w:sz w:val="21"/>
      <w:szCs w:val="24"/>
    </w:rPr>
  </w:style>
  <w:style w:type="paragraph" w:styleId="1">
    <w:name w:val="heading 1"/>
    <w:basedOn w:val="a4"/>
    <w:next w:val="a4"/>
    <w:qFormat/>
    <w:rsid w:val="00B31515"/>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4"/>
    <w:next w:val="a4"/>
    <w:qFormat/>
    <w:rsid w:val="00B31515"/>
    <w:pPr>
      <w:keepNext/>
      <w:keepLines/>
      <w:spacing w:before="260" w:after="260" w:line="416" w:lineRule="auto"/>
      <w:outlineLvl w:val="1"/>
    </w:pPr>
    <w:rPr>
      <w:rFonts w:ascii="Arial" w:eastAsia="黑体" w:hAnsi="Arial" w:cs="Times New Roman"/>
      <w:b/>
      <w:bCs/>
      <w:sz w:val="32"/>
      <w:szCs w:val="3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er"/>
    <w:basedOn w:val="a4"/>
    <w:uiPriority w:val="99"/>
    <w:qFormat/>
    <w:rsid w:val="00B31515"/>
    <w:pPr>
      <w:tabs>
        <w:tab w:val="center" w:pos="4153"/>
        <w:tab w:val="right" w:pos="8306"/>
      </w:tabs>
      <w:snapToGrid w:val="0"/>
      <w:jc w:val="left"/>
    </w:pPr>
    <w:rPr>
      <w:rFonts w:ascii="Times New Roman" w:eastAsia="宋体" w:hAnsi="Times New Roman" w:cs="Times New Roman"/>
      <w:sz w:val="18"/>
      <w:szCs w:val="18"/>
    </w:rPr>
  </w:style>
  <w:style w:type="paragraph" w:styleId="a9">
    <w:name w:val="header"/>
    <w:basedOn w:val="a4"/>
    <w:qFormat/>
    <w:rsid w:val="00B31515"/>
    <w:pPr>
      <w:pBdr>
        <w:bottom w:val="single" w:sz="6" w:space="1" w:color="auto"/>
      </w:pBdr>
      <w:tabs>
        <w:tab w:val="center" w:pos="4153"/>
        <w:tab w:val="right" w:pos="8306"/>
      </w:tabs>
      <w:snapToGrid w:val="0"/>
      <w:jc w:val="center"/>
    </w:pPr>
    <w:rPr>
      <w:sz w:val="18"/>
      <w:szCs w:val="18"/>
    </w:rPr>
  </w:style>
  <w:style w:type="paragraph" w:styleId="aa">
    <w:name w:val="Normal (Web)"/>
    <w:basedOn w:val="a4"/>
    <w:uiPriority w:val="99"/>
    <w:rsid w:val="00B31515"/>
    <w:pPr>
      <w:spacing w:before="100" w:beforeAutospacing="1" w:after="100" w:afterAutospacing="1"/>
      <w:jc w:val="left"/>
    </w:pPr>
    <w:rPr>
      <w:rFonts w:ascii="宋体" w:eastAsia="宋体" w:hAnsi="宋体" w:cs="宋体"/>
      <w:sz w:val="24"/>
    </w:rPr>
  </w:style>
  <w:style w:type="paragraph" w:customStyle="1" w:styleId="38">
    <w:name w:val="38"/>
    <w:basedOn w:val="a4"/>
    <w:qFormat/>
    <w:rsid w:val="00B31515"/>
    <w:pPr>
      <w:spacing w:before="100" w:beforeAutospacing="1" w:after="100" w:afterAutospacing="1"/>
      <w:jc w:val="left"/>
    </w:pPr>
    <w:rPr>
      <w:rFonts w:ascii="宋体" w:eastAsia="宋体" w:hAnsi="宋体" w:cs="宋体"/>
      <w:sz w:val="24"/>
    </w:rPr>
  </w:style>
  <w:style w:type="paragraph" w:customStyle="1" w:styleId="45">
    <w:name w:val="45"/>
    <w:basedOn w:val="a4"/>
    <w:qFormat/>
    <w:rsid w:val="00B31515"/>
    <w:pPr>
      <w:spacing w:before="100" w:beforeAutospacing="1" w:after="100" w:afterAutospacing="1"/>
      <w:jc w:val="left"/>
    </w:pPr>
    <w:rPr>
      <w:rFonts w:ascii="宋体" w:eastAsia="宋体" w:hAnsi="宋体" w:cs="宋体"/>
      <w:sz w:val="24"/>
    </w:rPr>
  </w:style>
  <w:style w:type="paragraph" w:customStyle="1" w:styleId="25">
    <w:name w:val="25"/>
    <w:basedOn w:val="a4"/>
    <w:qFormat/>
    <w:rsid w:val="00B31515"/>
    <w:pPr>
      <w:spacing w:before="100" w:beforeAutospacing="1" w:after="100" w:afterAutospacing="1"/>
      <w:jc w:val="left"/>
    </w:pPr>
    <w:rPr>
      <w:rFonts w:ascii="宋体" w:eastAsia="宋体" w:hAnsi="宋体" w:cs="宋体"/>
      <w:sz w:val="24"/>
    </w:rPr>
  </w:style>
  <w:style w:type="paragraph" w:customStyle="1" w:styleId="a">
    <w:name w:val="一级条标题"/>
    <w:next w:val="ab"/>
    <w:qFormat/>
    <w:rsid w:val="00B31515"/>
    <w:pPr>
      <w:numPr>
        <w:ilvl w:val="1"/>
        <w:numId w:val="1"/>
      </w:numPr>
      <w:spacing w:beforeLines="50" w:afterLines="50"/>
      <w:outlineLvl w:val="2"/>
    </w:pPr>
    <w:rPr>
      <w:rFonts w:ascii="黑体" w:eastAsia="黑体"/>
      <w:sz w:val="21"/>
      <w:szCs w:val="21"/>
    </w:rPr>
  </w:style>
  <w:style w:type="paragraph" w:customStyle="1" w:styleId="ab">
    <w:name w:val="段"/>
    <w:qFormat/>
    <w:rsid w:val="00B31515"/>
    <w:pPr>
      <w:tabs>
        <w:tab w:val="center" w:pos="4201"/>
        <w:tab w:val="right" w:leader="dot" w:pos="9298"/>
      </w:tabs>
      <w:autoSpaceDE w:val="0"/>
      <w:autoSpaceDN w:val="0"/>
      <w:ind w:firstLineChars="200" w:firstLine="420"/>
      <w:jc w:val="both"/>
    </w:pPr>
    <w:rPr>
      <w:rFonts w:ascii="宋体"/>
      <w:sz w:val="21"/>
    </w:rPr>
  </w:style>
  <w:style w:type="paragraph" w:customStyle="1" w:styleId="10">
    <w:name w:val="列出段落1"/>
    <w:basedOn w:val="a4"/>
    <w:qFormat/>
    <w:rsid w:val="00B31515"/>
    <w:pPr>
      <w:ind w:firstLineChars="200" w:firstLine="420"/>
    </w:pPr>
    <w:rPr>
      <w:rFonts w:ascii="Calibri" w:eastAsia="宋体" w:hAnsi="Calibri" w:cs="Times New Roman"/>
    </w:rPr>
  </w:style>
  <w:style w:type="paragraph" w:customStyle="1" w:styleId="a1">
    <w:name w:val="附录标识"/>
    <w:basedOn w:val="a4"/>
    <w:next w:val="ab"/>
    <w:qFormat/>
    <w:rsid w:val="00B31515"/>
    <w:pPr>
      <w:keepNext/>
      <w:numPr>
        <w:numId w:val="2"/>
      </w:numPr>
      <w:shd w:val="clear" w:color="FFFFFF" w:fill="FFFFFF"/>
      <w:tabs>
        <w:tab w:val="left" w:pos="360"/>
        <w:tab w:val="left" w:pos="6405"/>
      </w:tabs>
      <w:spacing w:before="640" w:after="280"/>
      <w:jc w:val="center"/>
      <w:outlineLvl w:val="0"/>
    </w:pPr>
    <w:rPr>
      <w:rFonts w:ascii="黑体" w:eastAsia="黑体" w:hAnsi="Times New Roman" w:cs="Times New Roman"/>
      <w:szCs w:val="20"/>
    </w:rPr>
  </w:style>
  <w:style w:type="paragraph" w:customStyle="1" w:styleId="a3">
    <w:name w:val="注："/>
    <w:next w:val="ab"/>
    <w:qFormat/>
    <w:rsid w:val="00B31515"/>
    <w:pPr>
      <w:widowControl w:val="0"/>
      <w:numPr>
        <w:numId w:val="3"/>
      </w:numPr>
      <w:autoSpaceDE w:val="0"/>
      <w:autoSpaceDN w:val="0"/>
      <w:jc w:val="both"/>
    </w:pPr>
    <w:rPr>
      <w:rFonts w:ascii="宋体"/>
      <w:sz w:val="18"/>
      <w:szCs w:val="18"/>
    </w:rPr>
  </w:style>
  <w:style w:type="paragraph" w:customStyle="1" w:styleId="a0">
    <w:name w:val="附录图标号"/>
    <w:basedOn w:val="a4"/>
    <w:qFormat/>
    <w:rsid w:val="00B31515"/>
    <w:pPr>
      <w:keepNext/>
      <w:pageBreakBefore/>
      <w:numPr>
        <w:numId w:val="4"/>
      </w:numPr>
      <w:spacing w:line="14" w:lineRule="exact"/>
      <w:ind w:left="0" w:firstLine="363"/>
      <w:jc w:val="center"/>
      <w:outlineLvl w:val="0"/>
    </w:pPr>
    <w:rPr>
      <w:rFonts w:ascii="Times New Roman" w:eastAsia="宋体" w:hAnsi="Times New Roman" w:cs="Times New Roman"/>
      <w:color w:val="FFFFFF"/>
    </w:rPr>
  </w:style>
  <w:style w:type="paragraph" w:customStyle="1" w:styleId="a2">
    <w:name w:val="附录表标号"/>
    <w:basedOn w:val="a4"/>
    <w:next w:val="ab"/>
    <w:qFormat/>
    <w:rsid w:val="00B31515"/>
    <w:pPr>
      <w:numPr>
        <w:numId w:val="5"/>
      </w:numPr>
      <w:spacing w:line="14" w:lineRule="exact"/>
      <w:ind w:left="811" w:hanging="448"/>
      <w:jc w:val="center"/>
      <w:outlineLvl w:val="0"/>
    </w:pPr>
    <w:rPr>
      <w:rFonts w:ascii="Times New Roman" w:eastAsia="宋体" w:hAnsi="Times New Roman" w:cs="Times New Roman"/>
      <w:color w:val="FFFFFF"/>
    </w:rPr>
  </w:style>
  <w:style w:type="paragraph" w:customStyle="1" w:styleId="Default">
    <w:name w:val="Default"/>
    <w:uiPriority w:val="99"/>
    <w:qFormat/>
    <w:rsid w:val="00B31515"/>
    <w:pPr>
      <w:widowControl w:val="0"/>
      <w:autoSpaceDE w:val="0"/>
      <w:autoSpaceDN w:val="0"/>
      <w:adjustRightInd w:val="0"/>
      <w:spacing w:after="160" w:line="252" w:lineRule="auto"/>
      <w:jc w:val="both"/>
    </w:pPr>
    <w:rPr>
      <w:rFonts w:ascii="仿宋" w:eastAsia="仿宋" w:cs="仿宋"/>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jnaky.com/Search/index.asp?q=%B9%AB%CB%BE" TargetMode="Externa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22522;&#30784;&#31649;&#29702;&#31867;&#38544;&#24739;&#25490;&#26597;&#28165;&#21333;&#20840;.doc"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38544;&#24739;&#25490;&#26597;&#39033;&#30446;&#28165;&#21333;&#20462;&#35746;.xls" TargetMode="External"/><Relationship Id="rId23"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10</TotalTime>
  <Pages>16</Pages>
  <Words>6858</Words>
  <Characters>1381</Characters>
  <Application>Microsoft Office Word</Application>
  <DocSecurity>0</DocSecurity>
  <Lines>11</Lines>
  <Paragraphs>16</Paragraphs>
  <ScaleCrop>false</ScaleCrop>
  <Company>CHINA</Company>
  <LinksUpToDate>false</LinksUpToDate>
  <CharactersWithSpaces>8223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墨云月影</dc:creator>
  <cp:lastModifiedBy>dreamsummit</cp:lastModifiedBy>
  <cp:revision>2</cp:revision>
  <dcterms:created xsi:type="dcterms:W3CDTF">2018-07-25T09:56:00Z</dcterms:created>
  <dcterms:modified xsi:type="dcterms:W3CDTF">2025-12-02T07:59:00Z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