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07" w:rsidRPr="00DF6E07" w:rsidRDefault="00DF6E07" w:rsidP="00DF6E07">
      <w:pPr>
        <w:shd w:val="clear" w:color="auto" w:fill="FFFFFF"/>
        <w:adjustRightInd/>
        <w:snapToGrid/>
        <w:spacing w:after="0" w:line="640" w:lineRule="atLeast"/>
        <w:jc w:val="center"/>
        <w:rPr>
          <w:rFonts w:ascii="宋体!important" w:eastAsia="宋体!important" w:hAnsi="宋体" w:cs="宋体"/>
          <w:color w:val="444444"/>
          <w:sz w:val="21"/>
          <w:szCs w:val="21"/>
          <w:lang/>
        </w:rPr>
      </w:pPr>
      <w:r w:rsidRPr="00DF6E07">
        <w:rPr>
          <w:rFonts w:ascii="宋体" w:eastAsia="宋体" w:hAnsi="宋体" w:cs="宋体" w:hint="eastAsia"/>
          <w:b/>
          <w:bCs/>
          <w:color w:val="444444"/>
          <w:sz w:val="44"/>
          <w:szCs w:val="44"/>
          <w:lang/>
        </w:rPr>
        <w:t>应急管理部办公厅关于认真做好</w:t>
      </w:r>
    </w:p>
    <w:p w:rsidR="00DF6E07" w:rsidRPr="00DF6E07" w:rsidRDefault="00DF6E07" w:rsidP="00DF6E07">
      <w:pPr>
        <w:shd w:val="clear" w:color="auto" w:fill="FFFFFF"/>
        <w:adjustRightInd/>
        <w:snapToGrid/>
        <w:spacing w:after="0" w:line="640" w:lineRule="atLeast"/>
        <w:jc w:val="center"/>
        <w:rPr>
          <w:rFonts w:ascii="宋体!important" w:eastAsia="宋体!important" w:hAnsi="宋体" w:cs="宋体" w:hint="eastAsia"/>
          <w:color w:val="444444"/>
          <w:sz w:val="21"/>
          <w:szCs w:val="21"/>
          <w:lang/>
        </w:rPr>
      </w:pPr>
      <w:r w:rsidRPr="00DF6E07">
        <w:rPr>
          <w:rFonts w:ascii="宋体" w:eastAsia="宋体" w:hAnsi="宋体" w:cs="宋体" w:hint="eastAsia"/>
          <w:b/>
          <w:bCs/>
          <w:color w:val="444444"/>
          <w:sz w:val="44"/>
          <w:szCs w:val="44"/>
          <w:lang/>
        </w:rPr>
        <w:t>柴油安全许可有关工作的通知</w:t>
      </w:r>
    </w:p>
    <w:p w:rsidR="00DF6E07" w:rsidRPr="00DF6E07" w:rsidRDefault="00DF6E07" w:rsidP="00DF6E07">
      <w:pPr>
        <w:widowControl w:val="0"/>
        <w:shd w:val="clear" w:color="auto" w:fill="FFFFFF"/>
        <w:adjustRightInd/>
        <w:snapToGrid/>
        <w:spacing w:after="0" w:line="560" w:lineRule="atLeast"/>
        <w:jc w:val="center"/>
        <w:rPr>
          <w:rFonts w:ascii="宋体!important" w:eastAsia="宋体!important" w:hAnsi="宋体" w:cs="宋体" w:hint="eastAsia"/>
          <w:color w:val="444444"/>
          <w:sz w:val="24"/>
          <w:szCs w:val="24"/>
          <w:lang/>
        </w:rPr>
      </w:pPr>
      <w:r w:rsidRPr="00DF6E07">
        <w:rPr>
          <w:rFonts w:ascii="宋体" w:eastAsia="宋体" w:hAnsi="宋体" w:cs="宋体" w:hint="eastAsia"/>
          <w:color w:val="444444"/>
          <w:sz w:val="36"/>
          <w:szCs w:val="36"/>
          <w:lang/>
        </w:rPr>
        <w:t>应急厅函〔2022〕317号</w:t>
      </w:r>
    </w:p>
    <w:p w:rsidR="00DF6E07" w:rsidRPr="00DF6E07" w:rsidRDefault="00DF6E07" w:rsidP="00DF6E07">
      <w:pPr>
        <w:shd w:val="clear" w:color="auto" w:fill="FFFFFF"/>
        <w:adjustRightInd/>
        <w:snapToGrid/>
        <w:spacing w:after="0" w:line="560" w:lineRule="atLeast"/>
        <w:jc w:val="center"/>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44"/>
          <w:szCs w:val="44"/>
          <w:lang/>
        </w:rPr>
        <w:t> </w:t>
      </w:r>
    </w:p>
    <w:p w:rsidR="00DF6E07" w:rsidRPr="00DF6E07" w:rsidRDefault="00DF6E07" w:rsidP="00DF6E07">
      <w:pPr>
        <w:shd w:val="clear" w:color="auto" w:fill="FFFFFF"/>
        <w:adjustRightInd/>
        <w:snapToGrid/>
        <w:spacing w:after="0" w:line="560" w:lineRule="atLeast"/>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各省、自治区、直辖市应急管理厅（局），新疆生产建设兵团应急管理局，有关中央企业：</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近日，应急管理部等10部门发布关于调整《危险化学品目录（2015版）》的公告，将“1674柴油[闭杯闪点≤60℃]”调整为“1674柴油”。按照《危险化学品安全管理条例》《危险化学品生产企业安全生产许可证实施办法》《危险化学品建设项目安全监督管理办法》《危险化学品经营许可证管理办法》等法规规章规定，现就做好柴油安全许可工作通知如下：</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一、柴油是指符合国家标准《车用柴油》（GB 19147）、《B5柴油》（GB 25199）的产品，不包括BD100生物柴油（由动植物油脂或废弃油脂与醇反应制得的脂肪酸单烷基酯）。对生产、经营柴油的企业按危险化学品企业进行管理。</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二、现有生产、经营柴油企业，其全部生产、储存柴油设施已按危险化学品统一管理，并依法取得危险化学品安全生产许可证或危险化学品经营许可证的，应于2023年3月31日前到行政许可实施机关，将许可范围中的“柴油[闭杯闪点≤60℃]”更新为“柴油”。</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lastRenderedPageBreak/>
        <w:t>三、现有生产、经营柴油（闭杯闪点＞60℃）企业，其生产、储存设施未取得相应安全许可的，应依法进行安全现状评价；未经正规设计的，应先进行安全设计诊断。企业符合安全条件和相关规定后，应于2023年6月30日前依法申请办理危险化学品安全生产许可证或危险化学品经营许可证。</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四、所有新建、改建、扩建生产、储存柴油的建设项目，要严格按照《危险化学品建设项目安全监督管理办法》有关要求执行。</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五、企业自用柴油加油装置（不对外经营），不需要进行安全生产许可。</w:t>
      </w:r>
    </w:p>
    <w:p w:rsidR="00DF6E07" w:rsidRPr="00DF6E07" w:rsidRDefault="00DF6E07" w:rsidP="00DF6E07">
      <w:pPr>
        <w:shd w:val="clear" w:color="auto" w:fill="FFFFFF"/>
        <w:adjustRightInd/>
        <w:snapToGrid/>
        <w:spacing w:after="0" w:line="560" w:lineRule="atLeast"/>
        <w:ind w:firstLine="660"/>
        <w:jc w:val="both"/>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请各省级应急管理部门及时将本通知要求传达到市、县应急管理部门和有关企业，并组织做好相关工作。</w:t>
      </w:r>
    </w:p>
    <w:p w:rsidR="00DF6E07" w:rsidRPr="00DF6E07" w:rsidRDefault="00DF6E07" w:rsidP="00DF6E07">
      <w:pPr>
        <w:shd w:val="clear" w:color="auto" w:fill="FFFFFF"/>
        <w:adjustRightInd/>
        <w:snapToGrid/>
        <w:spacing w:after="0" w:line="560" w:lineRule="atLeast"/>
        <w:ind w:firstLine="660"/>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 </w:t>
      </w:r>
    </w:p>
    <w:p w:rsidR="00DF6E07" w:rsidRPr="00DF6E07" w:rsidRDefault="00DF6E07" w:rsidP="00DF6E07">
      <w:pPr>
        <w:shd w:val="clear" w:color="auto" w:fill="FFFFFF"/>
        <w:adjustRightInd/>
        <w:snapToGrid/>
        <w:spacing w:after="0" w:line="560" w:lineRule="atLeast"/>
        <w:ind w:firstLine="660"/>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 </w:t>
      </w:r>
    </w:p>
    <w:p w:rsidR="00DF6E07" w:rsidRPr="00DF6E07" w:rsidRDefault="00DF6E07" w:rsidP="00DF6E07">
      <w:pPr>
        <w:shd w:val="clear" w:color="auto" w:fill="FFFFFF"/>
        <w:adjustRightInd/>
        <w:snapToGrid/>
        <w:spacing w:after="0" w:line="560" w:lineRule="atLeast"/>
        <w:ind w:firstLine="660"/>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 </w:t>
      </w:r>
    </w:p>
    <w:p w:rsidR="00DF6E07" w:rsidRPr="00DF6E07" w:rsidRDefault="00DF6E07" w:rsidP="00DF6E07">
      <w:pPr>
        <w:shd w:val="clear" w:color="auto" w:fill="FFFFFF"/>
        <w:adjustRightInd/>
        <w:snapToGrid/>
        <w:spacing w:after="0" w:line="560" w:lineRule="atLeast"/>
        <w:ind w:firstLine="3960"/>
        <w:jc w:val="right"/>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应急管理部办公厅</w:t>
      </w:r>
    </w:p>
    <w:p w:rsidR="00DF6E07" w:rsidRPr="00DF6E07" w:rsidRDefault="00DF6E07" w:rsidP="00DF6E07">
      <w:pPr>
        <w:shd w:val="clear" w:color="auto" w:fill="FFFFFF"/>
        <w:adjustRightInd/>
        <w:snapToGrid/>
        <w:spacing w:after="0" w:line="560" w:lineRule="atLeast"/>
        <w:ind w:firstLine="3960"/>
        <w:jc w:val="right"/>
        <w:rPr>
          <w:rFonts w:ascii="宋体!important" w:eastAsia="宋体!important" w:hAnsi="宋体" w:cs="宋体" w:hint="eastAsia"/>
          <w:color w:val="444444"/>
          <w:sz w:val="21"/>
          <w:szCs w:val="21"/>
          <w:lang/>
        </w:rPr>
      </w:pPr>
      <w:r w:rsidRPr="00DF6E07">
        <w:rPr>
          <w:rFonts w:ascii="宋体" w:eastAsia="宋体" w:hAnsi="宋体" w:cs="宋体" w:hint="eastAsia"/>
          <w:color w:val="444444"/>
          <w:sz w:val="33"/>
          <w:szCs w:val="33"/>
          <w:lang/>
        </w:rPr>
        <w:t>2022年12月20日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623" w:rsidRDefault="00101623" w:rsidP="00DF6E07">
      <w:pPr>
        <w:spacing w:after="0"/>
      </w:pPr>
      <w:r>
        <w:separator/>
      </w:r>
    </w:p>
  </w:endnote>
  <w:endnote w:type="continuationSeparator" w:id="0">
    <w:p w:rsidR="00101623" w:rsidRDefault="00101623" w:rsidP="00DF6E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important">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623" w:rsidRDefault="00101623" w:rsidP="00DF6E07">
      <w:pPr>
        <w:spacing w:after="0"/>
      </w:pPr>
      <w:r>
        <w:separator/>
      </w:r>
    </w:p>
  </w:footnote>
  <w:footnote w:type="continuationSeparator" w:id="0">
    <w:p w:rsidR="00101623" w:rsidRDefault="00101623" w:rsidP="00DF6E0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01623"/>
    <w:rsid w:val="00323B43"/>
    <w:rsid w:val="003D37D8"/>
    <w:rsid w:val="00426133"/>
    <w:rsid w:val="004358AB"/>
    <w:rsid w:val="007D33CE"/>
    <w:rsid w:val="008B7726"/>
    <w:rsid w:val="00D31D50"/>
    <w:rsid w:val="00DF6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6E0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F6E07"/>
    <w:rPr>
      <w:rFonts w:ascii="Tahoma" w:hAnsi="Tahoma"/>
      <w:sz w:val="18"/>
      <w:szCs w:val="18"/>
    </w:rPr>
  </w:style>
  <w:style w:type="paragraph" w:styleId="a4">
    <w:name w:val="footer"/>
    <w:basedOn w:val="a"/>
    <w:link w:val="Char0"/>
    <w:uiPriority w:val="99"/>
    <w:semiHidden/>
    <w:unhideWhenUsed/>
    <w:rsid w:val="00DF6E07"/>
    <w:pPr>
      <w:tabs>
        <w:tab w:val="center" w:pos="4153"/>
        <w:tab w:val="right" w:pos="8306"/>
      </w:tabs>
    </w:pPr>
    <w:rPr>
      <w:sz w:val="18"/>
      <w:szCs w:val="18"/>
    </w:rPr>
  </w:style>
  <w:style w:type="character" w:customStyle="1" w:styleId="Char0">
    <w:name w:val="页脚 Char"/>
    <w:basedOn w:val="a0"/>
    <w:link w:val="a4"/>
    <w:uiPriority w:val="99"/>
    <w:semiHidden/>
    <w:rsid w:val="00DF6E0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57251316">
      <w:bodyDiv w:val="1"/>
      <w:marLeft w:val="0"/>
      <w:marRight w:val="0"/>
      <w:marTop w:val="0"/>
      <w:marBottom w:val="0"/>
      <w:divBdr>
        <w:top w:val="none" w:sz="0" w:space="0" w:color="auto"/>
        <w:left w:val="none" w:sz="0" w:space="0" w:color="auto"/>
        <w:bottom w:val="none" w:sz="0" w:space="0" w:color="auto"/>
        <w:right w:val="none" w:sz="0" w:space="0" w:color="auto"/>
      </w:divBdr>
      <w:divsChild>
        <w:div w:id="960960218">
          <w:marLeft w:val="0"/>
          <w:marRight w:val="0"/>
          <w:marTop w:val="0"/>
          <w:marBottom w:val="0"/>
          <w:divBdr>
            <w:top w:val="none" w:sz="0" w:space="0" w:color="auto"/>
            <w:left w:val="none" w:sz="0" w:space="0" w:color="auto"/>
            <w:bottom w:val="none" w:sz="0" w:space="0" w:color="auto"/>
            <w:right w:val="none" w:sz="0" w:space="0" w:color="auto"/>
          </w:divBdr>
          <w:divsChild>
            <w:div w:id="1324161507">
              <w:marLeft w:val="0"/>
              <w:marRight w:val="0"/>
              <w:marTop w:val="0"/>
              <w:marBottom w:val="0"/>
              <w:divBdr>
                <w:top w:val="none" w:sz="0" w:space="0" w:color="auto"/>
                <w:left w:val="none" w:sz="0" w:space="0" w:color="auto"/>
                <w:bottom w:val="none" w:sz="0" w:space="0" w:color="auto"/>
                <w:right w:val="none" w:sz="0" w:space="0" w:color="auto"/>
              </w:divBdr>
              <w:divsChild>
                <w:div w:id="172381969">
                  <w:marLeft w:val="0"/>
                  <w:marRight w:val="0"/>
                  <w:marTop w:val="0"/>
                  <w:marBottom w:val="0"/>
                  <w:divBdr>
                    <w:top w:val="none" w:sz="0" w:space="0" w:color="auto"/>
                    <w:left w:val="none" w:sz="0" w:space="0" w:color="auto"/>
                    <w:bottom w:val="none" w:sz="0" w:space="0" w:color="auto"/>
                    <w:right w:val="none" w:sz="0" w:space="0" w:color="auto"/>
                  </w:divBdr>
                  <w:divsChild>
                    <w:div w:id="46799721">
                      <w:marLeft w:val="0"/>
                      <w:marRight w:val="0"/>
                      <w:marTop w:val="0"/>
                      <w:marBottom w:val="0"/>
                      <w:divBdr>
                        <w:top w:val="none" w:sz="0" w:space="0" w:color="auto"/>
                        <w:left w:val="none" w:sz="0" w:space="0" w:color="auto"/>
                        <w:bottom w:val="none" w:sz="0" w:space="0" w:color="auto"/>
                        <w:right w:val="none" w:sz="0" w:space="0" w:color="auto"/>
                      </w:divBdr>
                      <w:divsChild>
                        <w:div w:id="18660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2025-08-27T06:55:00Z</dcterms:modified>
</cp:coreProperties>
</file>