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宋体" w:hAnsi="宋体" w:eastAsia="宋体" w:cs="宋体"/>
          <w:b/>
          <w:bCs/>
          <w:sz w:val="44"/>
          <w:szCs w:val="44"/>
        </w:rPr>
      </w:pPr>
      <w:bookmarkStart w:id="0" w:name="_GoBack"/>
      <w:r>
        <w:rPr>
          <w:rFonts w:hint="eastAsia" w:ascii="宋体" w:hAnsi="宋体" w:eastAsia="宋体" w:cs="宋体"/>
          <w:b/>
          <w:bCs/>
          <w:sz w:val="44"/>
          <w:szCs w:val="44"/>
        </w:rPr>
        <w:t>易制爆危险化学品治安管理办法</w:t>
      </w:r>
    </w:p>
    <w:bookmarkEnd w:id="0"/>
    <w:p>
      <w:pPr>
        <w:pStyle w:val="3"/>
        <w:rPr>
          <w:rFonts w:hint="eastAsia" w:ascii="仿宋" w:hAnsi="仿宋" w:eastAsia="仿宋" w:cs="仿宋"/>
          <w:sz w:val="32"/>
          <w:szCs w:val="32"/>
        </w:rPr>
      </w:pPr>
    </w:p>
    <w:p>
      <w:pPr>
        <w:pStyle w:val="3"/>
        <w:rPr>
          <w:rFonts w:hint="eastAsia" w:ascii="仿宋" w:hAnsi="仿宋" w:eastAsia="仿宋" w:cs="仿宋"/>
          <w:sz w:val="32"/>
          <w:szCs w:val="32"/>
        </w:rPr>
      </w:pPr>
      <w:r>
        <w:rPr>
          <w:rFonts w:hint="eastAsia" w:ascii="仿宋" w:hAnsi="仿宋" w:eastAsia="仿宋" w:cs="仿宋"/>
          <w:sz w:val="32"/>
          <w:szCs w:val="32"/>
        </w:rPr>
        <w:t xml:space="preserve">第一章   总   则  </w:t>
      </w:r>
    </w:p>
    <w:p>
      <w:pPr>
        <w:pStyle w:val="3"/>
        <w:rPr>
          <w:rFonts w:hint="eastAsia" w:ascii="仿宋" w:hAnsi="仿宋" w:eastAsia="仿宋" w:cs="仿宋"/>
          <w:sz w:val="32"/>
          <w:szCs w:val="32"/>
        </w:rPr>
      </w:pPr>
      <w:r>
        <w:rPr>
          <w:rFonts w:hint="eastAsia" w:ascii="仿宋" w:hAnsi="仿宋" w:eastAsia="仿宋" w:cs="仿宋"/>
          <w:sz w:val="32"/>
          <w:szCs w:val="32"/>
        </w:rPr>
        <w:t>第一条   为加强易制爆危险化学品的治安管理，有效防范易制爆危险化学品治安风险，保障人民群众生命财产安全和公共安全，根据《中华人民共和国反恐怖主义法》《危险化学品安全管理条例》《企业事业单位内部治安保卫条例》等有关法律法规的规定，制定本办法。</w:t>
      </w:r>
    </w:p>
    <w:p>
      <w:pPr>
        <w:pStyle w:val="3"/>
        <w:rPr>
          <w:rFonts w:hint="eastAsia" w:ascii="仿宋" w:hAnsi="仿宋" w:eastAsia="仿宋" w:cs="仿宋"/>
          <w:sz w:val="32"/>
          <w:szCs w:val="32"/>
        </w:rPr>
      </w:pPr>
      <w:r>
        <w:rPr>
          <w:rFonts w:hint="eastAsia" w:ascii="仿宋" w:hAnsi="仿宋" w:eastAsia="仿宋" w:cs="仿宋"/>
          <w:sz w:val="32"/>
          <w:szCs w:val="32"/>
        </w:rPr>
        <w:t>第二条   易制爆危险化学品生产、经营、储存、使用、运输和处置的治安管理，适用本办法。</w:t>
      </w:r>
    </w:p>
    <w:p>
      <w:pPr>
        <w:pStyle w:val="3"/>
        <w:rPr>
          <w:rFonts w:hint="eastAsia" w:ascii="仿宋" w:hAnsi="仿宋" w:eastAsia="仿宋" w:cs="仿宋"/>
          <w:sz w:val="32"/>
          <w:szCs w:val="32"/>
        </w:rPr>
      </w:pPr>
      <w:r>
        <w:rPr>
          <w:rFonts w:hint="eastAsia" w:ascii="仿宋" w:hAnsi="仿宋" w:eastAsia="仿宋" w:cs="仿宋"/>
          <w:sz w:val="32"/>
          <w:szCs w:val="32"/>
        </w:rPr>
        <w:t>第三条   本办法所称易制爆危险化学品，是指列入公安部确定、公布的易制爆危险化学品名录，可用于制造爆炸物品的化学品。</w:t>
      </w:r>
    </w:p>
    <w:p>
      <w:pPr>
        <w:pStyle w:val="3"/>
        <w:rPr>
          <w:rFonts w:hint="eastAsia" w:ascii="仿宋" w:hAnsi="仿宋" w:eastAsia="仿宋" w:cs="仿宋"/>
          <w:sz w:val="32"/>
          <w:szCs w:val="32"/>
        </w:rPr>
      </w:pPr>
      <w:r>
        <w:rPr>
          <w:rFonts w:hint="eastAsia" w:ascii="仿宋" w:hAnsi="仿宋" w:eastAsia="仿宋" w:cs="仿宋"/>
          <w:sz w:val="32"/>
          <w:szCs w:val="32"/>
        </w:rPr>
        <w:t>第四条   本办法所称易制爆危险化学品从业单位，是指生产、经营、储存、使用、运输及处置易制爆危险化学品的单位。</w:t>
      </w:r>
    </w:p>
    <w:p>
      <w:pPr>
        <w:pStyle w:val="3"/>
        <w:rPr>
          <w:rFonts w:hint="eastAsia" w:ascii="仿宋" w:hAnsi="仿宋" w:eastAsia="仿宋" w:cs="仿宋"/>
          <w:sz w:val="32"/>
          <w:szCs w:val="32"/>
        </w:rPr>
      </w:pPr>
      <w:r>
        <w:rPr>
          <w:rFonts w:hint="eastAsia" w:ascii="仿宋" w:hAnsi="仿宋" w:eastAsia="仿宋" w:cs="仿宋"/>
          <w:sz w:val="32"/>
          <w:szCs w:val="32"/>
        </w:rPr>
        <w:t>第五条   易制爆危险化学品治安管理，应当坚持安全第一、预防为主、依法治理、系统治理的原则，强化和落实从业单位的主体责任。</w:t>
      </w:r>
    </w:p>
    <w:p>
      <w:pPr>
        <w:pStyle w:val="3"/>
        <w:rPr>
          <w:rFonts w:hint="eastAsia" w:ascii="仿宋" w:hAnsi="仿宋" w:eastAsia="仿宋" w:cs="仿宋"/>
          <w:sz w:val="32"/>
          <w:szCs w:val="32"/>
        </w:rPr>
      </w:pPr>
      <w:r>
        <w:rPr>
          <w:rFonts w:hint="eastAsia" w:ascii="仿宋" w:hAnsi="仿宋" w:eastAsia="仿宋" w:cs="仿宋"/>
          <w:sz w:val="32"/>
          <w:szCs w:val="32"/>
        </w:rPr>
        <w:t>易制爆危险化学品从业单位的主要负责人是治安管理第一责任人，对本单位易制爆危险化学品治安管理工作全面负责。</w:t>
      </w:r>
    </w:p>
    <w:p>
      <w:pPr>
        <w:pStyle w:val="3"/>
        <w:rPr>
          <w:rFonts w:hint="eastAsia" w:ascii="仿宋" w:hAnsi="仿宋" w:eastAsia="仿宋" w:cs="仿宋"/>
          <w:sz w:val="32"/>
          <w:szCs w:val="32"/>
        </w:rPr>
      </w:pPr>
      <w:r>
        <w:rPr>
          <w:rFonts w:hint="eastAsia" w:ascii="仿宋" w:hAnsi="仿宋" w:eastAsia="仿宋" w:cs="仿宋"/>
          <w:sz w:val="32"/>
          <w:szCs w:val="32"/>
        </w:rPr>
        <w:t>第六条   易制爆危险化学品从业单位应当建立易制爆危险化学品信息系统，并实现与公安机关的信息系统互联互通。</w:t>
      </w:r>
    </w:p>
    <w:p>
      <w:pPr>
        <w:pStyle w:val="3"/>
        <w:rPr>
          <w:rFonts w:hint="eastAsia" w:ascii="仿宋" w:hAnsi="仿宋" w:eastAsia="仿宋" w:cs="仿宋"/>
          <w:sz w:val="32"/>
          <w:szCs w:val="32"/>
        </w:rPr>
      </w:pPr>
      <w:r>
        <w:rPr>
          <w:rFonts w:hint="eastAsia" w:ascii="仿宋" w:hAnsi="仿宋" w:eastAsia="仿宋" w:cs="仿宋"/>
          <w:sz w:val="32"/>
          <w:szCs w:val="32"/>
        </w:rPr>
        <w:t>公安机关和易制爆危险化学品从业单位应当对易制爆危险化学品实行电子追踪标识管理，监控记录易制爆危险化学品流向、流量。</w:t>
      </w:r>
    </w:p>
    <w:p>
      <w:pPr>
        <w:pStyle w:val="3"/>
        <w:rPr>
          <w:rFonts w:hint="eastAsia" w:ascii="仿宋" w:hAnsi="仿宋" w:eastAsia="仿宋" w:cs="仿宋"/>
          <w:sz w:val="32"/>
          <w:szCs w:val="32"/>
        </w:rPr>
      </w:pPr>
      <w:r>
        <w:rPr>
          <w:rFonts w:hint="eastAsia" w:ascii="仿宋" w:hAnsi="仿宋" w:eastAsia="仿宋" w:cs="仿宋"/>
          <w:sz w:val="32"/>
          <w:szCs w:val="32"/>
        </w:rPr>
        <w:t>第七条   任何单位和个人都有权举报违反易制爆危险化学品治安管理规定的行为；接到举报的公安机关应当依法及时查处，并为举报人员保密，对举报有功人员给予奖励。</w:t>
      </w:r>
    </w:p>
    <w:p>
      <w:pPr>
        <w:pStyle w:val="3"/>
        <w:rPr>
          <w:rFonts w:hint="eastAsia" w:ascii="仿宋" w:hAnsi="仿宋" w:eastAsia="仿宋" w:cs="仿宋"/>
          <w:sz w:val="32"/>
          <w:szCs w:val="32"/>
        </w:rPr>
      </w:pPr>
      <w:r>
        <w:rPr>
          <w:rFonts w:hint="eastAsia" w:ascii="仿宋" w:hAnsi="仿宋" w:eastAsia="仿宋" w:cs="仿宋"/>
          <w:sz w:val="32"/>
          <w:szCs w:val="32"/>
        </w:rPr>
        <w:t>第八条   易制爆危险化学品从业单位应当加强对治安管理工作的检查、考核和奖惩，及时发现、整改治安隐患，并保存检查、整改记录。</w:t>
      </w:r>
    </w:p>
    <w:p>
      <w:pPr>
        <w:pStyle w:val="3"/>
        <w:rPr>
          <w:rFonts w:hint="eastAsia" w:ascii="仿宋" w:hAnsi="仿宋" w:eastAsia="仿宋" w:cs="仿宋"/>
          <w:sz w:val="32"/>
          <w:szCs w:val="32"/>
        </w:rPr>
      </w:pPr>
      <w:r>
        <w:rPr>
          <w:rFonts w:hint="eastAsia" w:ascii="仿宋" w:hAnsi="仿宋" w:eastAsia="仿宋" w:cs="仿宋"/>
          <w:sz w:val="32"/>
          <w:szCs w:val="32"/>
        </w:rPr>
        <w:t xml:space="preserve">第二章   销售、购买和流向登记  </w:t>
      </w:r>
    </w:p>
    <w:p>
      <w:pPr>
        <w:pStyle w:val="3"/>
        <w:rPr>
          <w:rFonts w:hint="eastAsia" w:ascii="仿宋" w:hAnsi="仿宋" w:eastAsia="仿宋" w:cs="仿宋"/>
          <w:sz w:val="32"/>
          <w:szCs w:val="32"/>
        </w:rPr>
      </w:pPr>
      <w:r>
        <w:rPr>
          <w:rFonts w:hint="eastAsia" w:ascii="仿宋" w:hAnsi="仿宋" w:eastAsia="仿宋" w:cs="仿宋"/>
          <w:sz w:val="32"/>
          <w:szCs w:val="32"/>
        </w:rPr>
        <w:t>第九条   公安机关接收同级应急管理部门通报的颁发危险化学品安全生产许可证、危险化学品安全使用许可证、危险化学品经营许可证、烟花爆竹安全生产许可证情况后，对属于易制爆危险化学品从业单位的，应当督促其建立信息系统。</w:t>
      </w:r>
    </w:p>
    <w:p>
      <w:pPr>
        <w:pStyle w:val="3"/>
        <w:rPr>
          <w:rFonts w:hint="eastAsia" w:ascii="仿宋" w:hAnsi="仿宋" w:eastAsia="仿宋" w:cs="仿宋"/>
          <w:sz w:val="32"/>
          <w:szCs w:val="32"/>
        </w:rPr>
      </w:pPr>
      <w:r>
        <w:rPr>
          <w:rFonts w:hint="eastAsia" w:ascii="仿宋" w:hAnsi="仿宋" w:eastAsia="仿宋" w:cs="仿宋"/>
          <w:sz w:val="32"/>
          <w:szCs w:val="32"/>
        </w:rPr>
        <w:t>第十条   依法取得危险化学品安全生产许可证、危险化学品安全使用许可证、危险化学品经营许可证的企业，凭相应的许可证件购买易制爆危险化学品。民用爆炸物品生产企业凭民用爆炸物品生产许可证购买易制爆危险化学品。</w:t>
      </w:r>
    </w:p>
    <w:p>
      <w:pPr>
        <w:pStyle w:val="3"/>
        <w:rPr>
          <w:rFonts w:hint="eastAsia" w:ascii="仿宋" w:hAnsi="仿宋" w:eastAsia="仿宋" w:cs="仿宋"/>
          <w:sz w:val="32"/>
          <w:szCs w:val="32"/>
        </w:rPr>
      </w:pPr>
      <w:r>
        <w:rPr>
          <w:rFonts w:hint="eastAsia" w:ascii="仿宋" w:hAnsi="仿宋" w:eastAsia="仿宋" w:cs="仿宋"/>
          <w:sz w:val="32"/>
          <w:szCs w:val="32"/>
        </w:rPr>
        <w:t>第十一条   本办法第十条以外的其他单位购买易制爆危险化学品的，应当向销售单位出具以下材料：</w:t>
      </w:r>
    </w:p>
    <w:p>
      <w:pPr>
        <w:pStyle w:val="3"/>
        <w:rPr>
          <w:rFonts w:hint="eastAsia" w:ascii="仿宋" w:hAnsi="仿宋" w:eastAsia="仿宋" w:cs="仿宋"/>
          <w:sz w:val="32"/>
          <w:szCs w:val="32"/>
        </w:rPr>
      </w:pPr>
      <w:r>
        <w:rPr>
          <w:rFonts w:hint="eastAsia" w:ascii="仿宋" w:hAnsi="仿宋" w:eastAsia="仿宋" w:cs="仿宋"/>
          <w:sz w:val="32"/>
          <w:szCs w:val="32"/>
        </w:rPr>
        <w:t>（一）本单位《工商营业执照》《事业单位法人证书》等合法证明复印件、经办人身份证明复印件；</w:t>
      </w:r>
    </w:p>
    <w:p>
      <w:pPr>
        <w:pStyle w:val="3"/>
        <w:rPr>
          <w:rFonts w:hint="eastAsia" w:ascii="仿宋" w:hAnsi="仿宋" w:eastAsia="仿宋" w:cs="仿宋"/>
          <w:sz w:val="32"/>
          <w:szCs w:val="32"/>
        </w:rPr>
      </w:pPr>
      <w:r>
        <w:rPr>
          <w:rFonts w:hint="eastAsia" w:ascii="仿宋" w:hAnsi="仿宋" w:eastAsia="仿宋" w:cs="仿宋"/>
          <w:sz w:val="32"/>
          <w:szCs w:val="32"/>
        </w:rPr>
        <w:t>（二）易制爆危险化学品合法用途说明，说明应当包含具体用途、品种、数量等内容。</w:t>
      </w:r>
    </w:p>
    <w:p>
      <w:pPr>
        <w:pStyle w:val="3"/>
        <w:rPr>
          <w:rFonts w:hint="eastAsia" w:ascii="仿宋" w:hAnsi="仿宋" w:eastAsia="仿宋" w:cs="仿宋"/>
          <w:sz w:val="32"/>
          <w:szCs w:val="32"/>
        </w:rPr>
      </w:pPr>
      <w:r>
        <w:rPr>
          <w:rFonts w:hint="eastAsia" w:ascii="仿宋" w:hAnsi="仿宋" w:eastAsia="仿宋" w:cs="仿宋"/>
          <w:sz w:val="32"/>
          <w:szCs w:val="32"/>
        </w:rPr>
        <w:t>严禁个人购买易制爆危险化学品。</w:t>
      </w:r>
    </w:p>
    <w:p>
      <w:pPr>
        <w:pStyle w:val="3"/>
        <w:rPr>
          <w:rFonts w:hint="eastAsia" w:ascii="仿宋" w:hAnsi="仿宋" w:eastAsia="仿宋" w:cs="仿宋"/>
          <w:sz w:val="32"/>
          <w:szCs w:val="32"/>
        </w:rPr>
      </w:pPr>
      <w:r>
        <w:rPr>
          <w:rFonts w:hint="eastAsia" w:ascii="仿宋" w:hAnsi="仿宋" w:eastAsia="仿宋" w:cs="仿宋"/>
          <w:sz w:val="32"/>
          <w:szCs w:val="32"/>
        </w:rPr>
        <w:t>第十二条   危险化学品生产企业、经营企业销售易制爆危险化学品，应当查验本办法第十条或者第十一条规定的相关许可证件或者证明文件，不得向不具有相关许可证件或者证明文件的单位及任何个人销售易制爆危险化学品。</w:t>
      </w:r>
    </w:p>
    <w:p>
      <w:pPr>
        <w:pStyle w:val="3"/>
        <w:rPr>
          <w:rFonts w:hint="eastAsia" w:ascii="仿宋" w:hAnsi="仿宋" w:eastAsia="仿宋" w:cs="仿宋"/>
          <w:sz w:val="32"/>
          <w:szCs w:val="32"/>
        </w:rPr>
      </w:pPr>
      <w:r>
        <w:rPr>
          <w:rFonts w:hint="eastAsia" w:ascii="仿宋" w:hAnsi="仿宋" w:eastAsia="仿宋" w:cs="仿宋"/>
          <w:sz w:val="32"/>
          <w:szCs w:val="32"/>
        </w:rPr>
        <w:t>第十三条   销售、购买、转让易制爆危险化学品应当通过本企业银行账户或者电子账户进行交易，不得使用现金或者实物进行交易。</w:t>
      </w:r>
    </w:p>
    <w:p>
      <w:pPr>
        <w:pStyle w:val="3"/>
        <w:rPr>
          <w:rFonts w:hint="eastAsia" w:ascii="仿宋" w:hAnsi="仿宋" w:eastAsia="仿宋" w:cs="仿宋"/>
          <w:sz w:val="32"/>
          <w:szCs w:val="32"/>
        </w:rPr>
      </w:pPr>
      <w:r>
        <w:rPr>
          <w:rFonts w:hint="eastAsia" w:ascii="仿宋" w:hAnsi="仿宋" w:eastAsia="仿宋" w:cs="仿宋"/>
          <w:sz w:val="32"/>
          <w:szCs w:val="32"/>
        </w:rPr>
        <w:t>第十四条   危险化学品生产企业、经营企业销售易制爆危险化学品，应当如实记录购买单位的名称、地址、经办人姓名、身份证号码以及所购买的易制爆危险化学品的品种、数量、用途。销售记录以及相关许可证件复印件或者证明文件、经办人的身份证明复印件的保存期限不得少于一年。</w:t>
      </w:r>
    </w:p>
    <w:p>
      <w:pPr>
        <w:pStyle w:val="3"/>
        <w:rPr>
          <w:rFonts w:hint="eastAsia" w:ascii="仿宋" w:hAnsi="仿宋" w:eastAsia="仿宋" w:cs="仿宋"/>
          <w:sz w:val="32"/>
          <w:szCs w:val="32"/>
        </w:rPr>
      </w:pPr>
      <w:r>
        <w:rPr>
          <w:rFonts w:hint="eastAsia" w:ascii="仿宋" w:hAnsi="仿宋" w:eastAsia="仿宋" w:cs="仿宋"/>
          <w:sz w:val="32"/>
          <w:szCs w:val="32"/>
        </w:rPr>
        <w:t>易制爆危险化学品销售、购买单位应当在销售、购买后五日内，通过易制爆危险化学品信息系统，将所销售、购买的易制爆危险化学品的品种、数量以及流向信息报所在地县级公安机关备案。</w:t>
      </w:r>
    </w:p>
    <w:p>
      <w:pPr>
        <w:pStyle w:val="3"/>
        <w:rPr>
          <w:rFonts w:hint="eastAsia" w:ascii="仿宋" w:hAnsi="仿宋" w:eastAsia="仿宋" w:cs="仿宋"/>
          <w:sz w:val="32"/>
          <w:szCs w:val="32"/>
        </w:rPr>
      </w:pPr>
      <w:r>
        <w:rPr>
          <w:rFonts w:hint="eastAsia" w:ascii="仿宋" w:hAnsi="仿宋" w:eastAsia="仿宋" w:cs="仿宋"/>
          <w:sz w:val="32"/>
          <w:szCs w:val="32"/>
        </w:rPr>
        <w:t>第十五条   易制爆危险化学品生产、进口和分装单位应当按照国家有关标准和规范要求，对易制爆危险化学品作出电子追踪标识，识读电子追踪标识可显示相应易制爆危险化学品品种、数量以及流向信息。</w:t>
      </w:r>
    </w:p>
    <w:p>
      <w:pPr>
        <w:pStyle w:val="3"/>
        <w:rPr>
          <w:rFonts w:hint="eastAsia" w:ascii="仿宋" w:hAnsi="仿宋" w:eastAsia="仿宋" w:cs="仿宋"/>
          <w:sz w:val="32"/>
          <w:szCs w:val="32"/>
        </w:rPr>
      </w:pPr>
      <w:r>
        <w:rPr>
          <w:rFonts w:hint="eastAsia" w:ascii="仿宋" w:hAnsi="仿宋" w:eastAsia="仿宋" w:cs="仿宋"/>
          <w:sz w:val="32"/>
          <w:szCs w:val="32"/>
        </w:rPr>
        <w:t>第十六条   易制爆危险化学品从业单位应当如实登记易制爆危险化学品销售、购买、出入库、领取、使用、归还、处置等信息，并录入易制爆危险化学品信息系统。</w:t>
      </w:r>
    </w:p>
    <w:p>
      <w:pPr>
        <w:pStyle w:val="3"/>
        <w:rPr>
          <w:rFonts w:hint="eastAsia" w:ascii="仿宋" w:hAnsi="仿宋" w:eastAsia="仿宋" w:cs="仿宋"/>
          <w:sz w:val="32"/>
          <w:szCs w:val="32"/>
        </w:rPr>
      </w:pPr>
      <w:r>
        <w:rPr>
          <w:rFonts w:hint="eastAsia" w:ascii="仿宋" w:hAnsi="仿宋" w:eastAsia="仿宋" w:cs="仿宋"/>
          <w:sz w:val="32"/>
          <w:szCs w:val="32"/>
        </w:rPr>
        <w:t xml:space="preserve">第三章   处置、使用、运输和信息发布  </w:t>
      </w:r>
    </w:p>
    <w:p>
      <w:pPr>
        <w:pStyle w:val="3"/>
        <w:rPr>
          <w:rFonts w:hint="eastAsia" w:ascii="仿宋" w:hAnsi="仿宋" w:eastAsia="仿宋" w:cs="仿宋"/>
          <w:sz w:val="32"/>
          <w:szCs w:val="32"/>
        </w:rPr>
      </w:pPr>
      <w:r>
        <w:rPr>
          <w:rFonts w:hint="eastAsia" w:ascii="仿宋" w:hAnsi="仿宋" w:eastAsia="仿宋" w:cs="仿宋"/>
          <w:sz w:val="32"/>
          <w:szCs w:val="32"/>
        </w:rPr>
        <w:t>第十七条   易制爆危险化学品从业单位转产、停产、停业或者解散的，应当将生产装置、储存设施以及库存易制爆危险化学品的处置方案报主管部门和所在地县级公安机关备案。</w:t>
      </w:r>
    </w:p>
    <w:p>
      <w:pPr>
        <w:pStyle w:val="3"/>
        <w:rPr>
          <w:rFonts w:hint="eastAsia" w:ascii="仿宋" w:hAnsi="仿宋" w:eastAsia="仿宋" w:cs="仿宋"/>
          <w:sz w:val="32"/>
          <w:szCs w:val="32"/>
        </w:rPr>
      </w:pPr>
      <w:r>
        <w:rPr>
          <w:rFonts w:hint="eastAsia" w:ascii="仿宋" w:hAnsi="仿宋" w:eastAsia="仿宋" w:cs="仿宋"/>
          <w:sz w:val="32"/>
          <w:szCs w:val="32"/>
        </w:rPr>
        <w:t>第十八条   易制爆危险化学品使用单位不得出借、转让其购买的易制爆危险化学品；因转产、停产、搬迁、关闭等确需转让的，应当向具有本办法第十条或者第十一条规定的相关许可证件或者证明文件的单位转让。</w:t>
      </w:r>
    </w:p>
    <w:p>
      <w:pPr>
        <w:pStyle w:val="3"/>
        <w:rPr>
          <w:rFonts w:hint="eastAsia" w:ascii="仿宋" w:hAnsi="仿宋" w:eastAsia="仿宋" w:cs="仿宋"/>
          <w:sz w:val="32"/>
          <w:szCs w:val="32"/>
        </w:rPr>
      </w:pPr>
      <w:r>
        <w:rPr>
          <w:rFonts w:hint="eastAsia" w:ascii="仿宋" w:hAnsi="仿宋" w:eastAsia="仿宋" w:cs="仿宋"/>
          <w:sz w:val="32"/>
          <w:szCs w:val="32"/>
        </w:rPr>
        <w:t>双方应当在转让后五日内，将有关情况报告所在地县级公安机关。</w:t>
      </w:r>
    </w:p>
    <w:p>
      <w:pPr>
        <w:pStyle w:val="3"/>
        <w:rPr>
          <w:rFonts w:hint="eastAsia" w:ascii="仿宋" w:hAnsi="仿宋" w:eastAsia="仿宋" w:cs="仿宋"/>
          <w:sz w:val="32"/>
          <w:szCs w:val="32"/>
        </w:rPr>
      </w:pPr>
      <w:r>
        <w:rPr>
          <w:rFonts w:hint="eastAsia" w:ascii="仿宋" w:hAnsi="仿宋" w:eastAsia="仿宋" w:cs="仿宋"/>
          <w:sz w:val="32"/>
          <w:szCs w:val="32"/>
        </w:rPr>
        <w:t>第十九条   运输易制爆危险化学品途中因住宿或者发生影响正常运输的情况，需要较长时间停车的，驾驶人员、押运人员应当采取相应的安全防范措施，并向公安机关报告。</w:t>
      </w:r>
    </w:p>
    <w:p>
      <w:pPr>
        <w:pStyle w:val="3"/>
        <w:rPr>
          <w:rFonts w:hint="eastAsia" w:ascii="仿宋" w:hAnsi="仿宋" w:eastAsia="仿宋" w:cs="仿宋"/>
          <w:sz w:val="32"/>
          <w:szCs w:val="32"/>
        </w:rPr>
      </w:pPr>
      <w:r>
        <w:rPr>
          <w:rFonts w:hint="eastAsia" w:ascii="仿宋" w:hAnsi="仿宋" w:eastAsia="仿宋" w:cs="仿宋"/>
          <w:sz w:val="32"/>
          <w:szCs w:val="32"/>
        </w:rPr>
        <w:t>第二十条   易制爆危险化学品在道路运输途中丢失、被盗、被抢或者出现流散、泄漏等情况的，驾驶人员、押运人员应当立即采取相应的警示措施和安全措施，并向公安机关报告。公安机关接到报告后，应当根据实际情况立即向同级应急管理、生态环境、卫生健康等部门通报，采取必要的应急处置措施。</w:t>
      </w:r>
    </w:p>
    <w:p>
      <w:pPr>
        <w:pStyle w:val="3"/>
        <w:rPr>
          <w:rFonts w:hint="eastAsia" w:ascii="仿宋" w:hAnsi="仿宋" w:eastAsia="仿宋" w:cs="仿宋"/>
          <w:sz w:val="32"/>
          <w:szCs w:val="32"/>
        </w:rPr>
      </w:pPr>
      <w:r>
        <w:rPr>
          <w:rFonts w:hint="eastAsia" w:ascii="仿宋" w:hAnsi="仿宋" w:eastAsia="仿宋" w:cs="仿宋"/>
          <w:sz w:val="32"/>
          <w:szCs w:val="32"/>
        </w:rPr>
        <w:t>第二十一条   任何单位和个人不得交寄易制爆危险化学品或者在邮件、快递内夹带易制爆危险化学品，不得将易制爆危险化学品匿报或者谎报为普通物品交寄，不得将易制爆危险化学品交给不具有相应危险货物运输资质的企业托运。邮政企业、快递企业不得收寄易制爆危险化学品。运输企业、物流企业不得违反危险货物运输管理规定承运易制爆危险化学品。邮政企业、快递企业、运输企业、物流企业发现违反规定交寄或者托运易制爆危险化学品的，应当立即将有关情况报告公安机关和主管部门。</w:t>
      </w:r>
    </w:p>
    <w:p>
      <w:pPr>
        <w:pStyle w:val="3"/>
        <w:rPr>
          <w:rFonts w:hint="eastAsia" w:ascii="仿宋" w:hAnsi="仿宋" w:eastAsia="仿宋" w:cs="仿宋"/>
          <w:sz w:val="32"/>
          <w:szCs w:val="32"/>
        </w:rPr>
      </w:pPr>
      <w:r>
        <w:rPr>
          <w:rFonts w:hint="eastAsia" w:ascii="仿宋" w:hAnsi="仿宋" w:eastAsia="仿宋" w:cs="仿宋"/>
          <w:sz w:val="32"/>
          <w:szCs w:val="32"/>
        </w:rPr>
        <w:t>第二十二条   易制爆危险化学品从业单位依法办理非经营性互联网信息服务备案手续后，可以在本单位网站发布易制爆危险化学品信息。</w:t>
      </w:r>
    </w:p>
    <w:p>
      <w:pPr>
        <w:pStyle w:val="3"/>
        <w:rPr>
          <w:rFonts w:hint="eastAsia" w:ascii="仿宋" w:hAnsi="仿宋" w:eastAsia="仿宋" w:cs="仿宋"/>
          <w:sz w:val="32"/>
          <w:szCs w:val="32"/>
        </w:rPr>
      </w:pPr>
      <w:r>
        <w:rPr>
          <w:rFonts w:hint="eastAsia" w:ascii="仿宋" w:hAnsi="仿宋" w:eastAsia="仿宋" w:cs="仿宋"/>
          <w:sz w:val="32"/>
          <w:szCs w:val="32"/>
        </w:rPr>
        <w:t>易制爆危险化学品从业单位应当在本单位网站主页显著位置标明可供查询的互联网信息服务备案编号。</w:t>
      </w:r>
    </w:p>
    <w:p>
      <w:pPr>
        <w:pStyle w:val="3"/>
        <w:rPr>
          <w:rFonts w:hint="eastAsia" w:ascii="仿宋" w:hAnsi="仿宋" w:eastAsia="仿宋" w:cs="仿宋"/>
          <w:sz w:val="32"/>
          <w:szCs w:val="32"/>
        </w:rPr>
      </w:pPr>
      <w:r>
        <w:rPr>
          <w:rFonts w:hint="eastAsia" w:ascii="仿宋" w:hAnsi="仿宋" w:eastAsia="仿宋" w:cs="仿宋"/>
          <w:sz w:val="32"/>
          <w:szCs w:val="32"/>
        </w:rPr>
        <w:t>第二十三条   易制爆危险化学品从业单位不得在本单位网站以外的互联网应用服务中发布易制爆危险化学品信息及建立相关链接。</w:t>
      </w:r>
    </w:p>
    <w:p>
      <w:pPr>
        <w:pStyle w:val="3"/>
        <w:rPr>
          <w:rFonts w:hint="eastAsia" w:ascii="仿宋" w:hAnsi="仿宋" w:eastAsia="仿宋" w:cs="仿宋"/>
          <w:sz w:val="32"/>
          <w:szCs w:val="32"/>
        </w:rPr>
      </w:pPr>
      <w:r>
        <w:rPr>
          <w:rFonts w:hint="eastAsia" w:ascii="仿宋" w:hAnsi="仿宋" w:eastAsia="仿宋" w:cs="仿宋"/>
          <w:sz w:val="32"/>
          <w:szCs w:val="32"/>
        </w:rPr>
        <w:t>禁止易制爆危险化学品从业单位以外的其他单位在互联网发布易制爆危险化学品信息及建立相关链接。</w:t>
      </w:r>
    </w:p>
    <w:p>
      <w:pPr>
        <w:pStyle w:val="3"/>
        <w:rPr>
          <w:rFonts w:hint="eastAsia" w:ascii="仿宋" w:hAnsi="仿宋" w:eastAsia="仿宋" w:cs="仿宋"/>
          <w:sz w:val="32"/>
          <w:szCs w:val="32"/>
        </w:rPr>
      </w:pPr>
      <w:r>
        <w:rPr>
          <w:rFonts w:hint="eastAsia" w:ascii="仿宋" w:hAnsi="仿宋" w:eastAsia="仿宋" w:cs="仿宋"/>
          <w:sz w:val="32"/>
          <w:szCs w:val="32"/>
        </w:rPr>
        <w:t>第二十四条   禁止个人在互联网上发布易制爆危险化学品生产、买卖、储存、使用信息。</w:t>
      </w:r>
    </w:p>
    <w:p>
      <w:pPr>
        <w:pStyle w:val="3"/>
        <w:rPr>
          <w:rFonts w:hint="eastAsia" w:ascii="仿宋" w:hAnsi="仿宋" w:eastAsia="仿宋" w:cs="仿宋"/>
          <w:sz w:val="32"/>
          <w:szCs w:val="32"/>
        </w:rPr>
      </w:pPr>
      <w:r>
        <w:rPr>
          <w:rFonts w:hint="eastAsia" w:ascii="仿宋" w:hAnsi="仿宋" w:eastAsia="仿宋" w:cs="仿宋"/>
          <w:sz w:val="32"/>
          <w:szCs w:val="32"/>
        </w:rPr>
        <w:t>禁止任何单位和个人在互联网上发布利用易制爆危险化学品制造爆炸物品方法的信息。</w:t>
      </w:r>
    </w:p>
    <w:p>
      <w:pPr>
        <w:pStyle w:val="3"/>
        <w:rPr>
          <w:rFonts w:hint="eastAsia" w:ascii="仿宋" w:hAnsi="仿宋" w:eastAsia="仿宋" w:cs="仿宋"/>
          <w:sz w:val="32"/>
          <w:szCs w:val="32"/>
        </w:rPr>
      </w:pPr>
      <w:r>
        <w:rPr>
          <w:rFonts w:hint="eastAsia" w:ascii="仿宋" w:hAnsi="仿宋" w:eastAsia="仿宋" w:cs="仿宋"/>
          <w:sz w:val="32"/>
          <w:szCs w:val="32"/>
        </w:rPr>
        <w:t xml:space="preserve">第四章   治安防范  </w:t>
      </w:r>
    </w:p>
    <w:p>
      <w:pPr>
        <w:pStyle w:val="3"/>
        <w:rPr>
          <w:rFonts w:hint="eastAsia" w:ascii="仿宋" w:hAnsi="仿宋" w:eastAsia="仿宋" w:cs="仿宋"/>
          <w:sz w:val="32"/>
          <w:szCs w:val="32"/>
        </w:rPr>
      </w:pPr>
      <w:r>
        <w:rPr>
          <w:rFonts w:hint="eastAsia" w:ascii="仿宋" w:hAnsi="仿宋" w:eastAsia="仿宋" w:cs="仿宋"/>
          <w:sz w:val="32"/>
          <w:szCs w:val="32"/>
        </w:rPr>
        <w:t>第二十五条   易制爆危险化学品从业单位应当设置治安保卫机构，建立健全治安保卫制度，配备专职治安保卫人员负责易制爆危险化学品治安保卫工作，并将治安保卫机构的设置和人员的配备情况报所在地县级公安机关备案。治安保卫人员应当符合国家有关标准和规范要求，经培训后上岗。</w:t>
      </w:r>
    </w:p>
    <w:p>
      <w:pPr>
        <w:pStyle w:val="3"/>
        <w:rPr>
          <w:rFonts w:hint="eastAsia" w:ascii="仿宋" w:hAnsi="仿宋" w:eastAsia="仿宋" w:cs="仿宋"/>
          <w:sz w:val="32"/>
          <w:szCs w:val="32"/>
        </w:rPr>
      </w:pPr>
      <w:r>
        <w:rPr>
          <w:rFonts w:hint="eastAsia" w:ascii="仿宋" w:hAnsi="仿宋" w:eastAsia="仿宋" w:cs="仿宋"/>
          <w:sz w:val="32"/>
          <w:szCs w:val="32"/>
        </w:rPr>
        <w:t>第二十六条   易制爆危险化学品应当按照国家有关标准和规范要求，储存在封闭式、半封闭式或者露天式危险化学品专用储存场所内，并根据危险品性能分区、分类、分库储存。</w:t>
      </w:r>
    </w:p>
    <w:p>
      <w:pPr>
        <w:pStyle w:val="3"/>
        <w:rPr>
          <w:rFonts w:hint="eastAsia" w:ascii="仿宋" w:hAnsi="仿宋" w:eastAsia="仿宋" w:cs="仿宋"/>
          <w:sz w:val="32"/>
          <w:szCs w:val="32"/>
        </w:rPr>
      </w:pPr>
      <w:r>
        <w:rPr>
          <w:rFonts w:hint="eastAsia" w:ascii="仿宋" w:hAnsi="仿宋" w:eastAsia="仿宋" w:cs="仿宋"/>
          <w:sz w:val="32"/>
          <w:szCs w:val="32"/>
        </w:rPr>
        <w:t>教学、科研、医疗、测试等易制爆危险化学品使用单位，可使用储存室或者储存柜储存易制爆危险化学品，单个储存室或者储存柜储存量应当在 50 公斤以下。</w:t>
      </w:r>
    </w:p>
    <w:p>
      <w:pPr>
        <w:pStyle w:val="3"/>
        <w:rPr>
          <w:rFonts w:hint="eastAsia" w:ascii="仿宋" w:hAnsi="仿宋" w:eastAsia="仿宋" w:cs="仿宋"/>
          <w:sz w:val="32"/>
          <w:szCs w:val="32"/>
        </w:rPr>
      </w:pPr>
      <w:r>
        <w:rPr>
          <w:rFonts w:hint="eastAsia" w:ascii="仿宋" w:hAnsi="仿宋" w:eastAsia="仿宋" w:cs="仿宋"/>
          <w:sz w:val="32"/>
          <w:szCs w:val="32"/>
        </w:rPr>
        <w:t>第二十七条   易制爆危险化学品储存场所应当按照国家有关标准和规范要求，设置相应的人力防范、实体防范、技术防范等治安防范设施，防止易制爆危险化学品丢失、被盗、被抢。</w:t>
      </w:r>
    </w:p>
    <w:p>
      <w:pPr>
        <w:pStyle w:val="3"/>
        <w:rPr>
          <w:rFonts w:hint="eastAsia" w:ascii="仿宋" w:hAnsi="仿宋" w:eastAsia="仿宋" w:cs="仿宋"/>
          <w:sz w:val="32"/>
          <w:szCs w:val="32"/>
        </w:rPr>
      </w:pPr>
      <w:r>
        <w:rPr>
          <w:rFonts w:hint="eastAsia" w:ascii="仿宋" w:hAnsi="仿宋" w:eastAsia="仿宋" w:cs="仿宋"/>
          <w:sz w:val="32"/>
          <w:szCs w:val="32"/>
        </w:rPr>
        <w:t>第二十八条   易制爆危险化学品从业单位应当建立易制爆危险化学品出入库检查、登记制度，定期核对易制爆危险化学品存放情况。</w:t>
      </w:r>
    </w:p>
    <w:p>
      <w:pPr>
        <w:pStyle w:val="3"/>
        <w:rPr>
          <w:rFonts w:hint="eastAsia" w:ascii="仿宋" w:hAnsi="仿宋" w:eastAsia="仿宋" w:cs="仿宋"/>
          <w:sz w:val="32"/>
          <w:szCs w:val="32"/>
        </w:rPr>
      </w:pPr>
      <w:r>
        <w:rPr>
          <w:rFonts w:hint="eastAsia" w:ascii="仿宋" w:hAnsi="仿宋" w:eastAsia="仿宋" w:cs="仿宋"/>
          <w:sz w:val="32"/>
          <w:szCs w:val="32"/>
        </w:rPr>
        <w:t>易制爆危险化学品丢失、被盗、被抢的，应当立即报告公安机关。</w:t>
      </w:r>
    </w:p>
    <w:p>
      <w:pPr>
        <w:pStyle w:val="3"/>
        <w:rPr>
          <w:rFonts w:hint="eastAsia" w:ascii="仿宋" w:hAnsi="仿宋" w:eastAsia="仿宋" w:cs="仿宋"/>
          <w:sz w:val="32"/>
          <w:szCs w:val="32"/>
        </w:rPr>
      </w:pPr>
      <w:r>
        <w:rPr>
          <w:rFonts w:hint="eastAsia" w:ascii="仿宋" w:hAnsi="仿宋" w:eastAsia="仿宋" w:cs="仿宋"/>
          <w:sz w:val="32"/>
          <w:szCs w:val="32"/>
        </w:rPr>
        <w:t>第二十九条   易制爆危险化学品储存场所（储存室、储存柜除外）治安防范状况应当纳入单位安全评价的内容，经安全评价合格后方可使用。</w:t>
      </w:r>
    </w:p>
    <w:p>
      <w:pPr>
        <w:pStyle w:val="3"/>
        <w:rPr>
          <w:rFonts w:hint="eastAsia" w:ascii="仿宋" w:hAnsi="仿宋" w:eastAsia="仿宋" w:cs="仿宋"/>
          <w:sz w:val="32"/>
          <w:szCs w:val="32"/>
        </w:rPr>
      </w:pPr>
      <w:r>
        <w:rPr>
          <w:rFonts w:hint="eastAsia" w:ascii="仿宋" w:hAnsi="仿宋" w:eastAsia="仿宋" w:cs="仿宋"/>
          <w:sz w:val="32"/>
          <w:szCs w:val="32"/>
        </w:rPr>
        <w:t>第三十条   构成重大危险源的易制爆危险化学品，应当在专用仓库内单独存放，并实行双人收发、双人保管制度。</w:t>
      </w:r>
    </w:p>
    <w:p>
      <w:pPr>
        <w:pStyle w:val="3"/>
        <w:rPr>
          <w:rFonts w:hint="eastAsia" w:ascii="仿宋" w:hAnsi="仿宋" w:eastAsia="仿宋" w:cs="仿宋"/>
          <w:sz w:val="32"/>
          <w:szCs w:val="32"/>
        </w:rPr>
      </w:pPr>
      <w:r>
        <w:rPr>
          <w:rFonts w:hint="eastAsia" w:ascii="仿宋" w:hAnsi="仿宋" w:eastAsia="仿宋" w:cs="仿宋"/>
          <w:sz w:val="32"/>
          <w:szCs w:val="32"/>
        </w:rPr>
        <w:t xml:space="preserve">第五章   监督检查  </w:t>
      </w:r>
    </w:p>
    <w:p>
      <w:pPr>
        <w:pStyle w:val="3"/>
        <w:rPr>
          <w:rFonts w:hint="eastAsia" w:ascii="仿宋" w:hAnsi="仿宋" w:eastAsia="仿宋" w:cs="仿宋"/>
          <w:sz w:val="32"/>
          <w:szCs w:val="32"/>
        </w:rPr>
      </w:pPr>
      <w:r>
        <w:rPr>
          <w:rFonts w:hint="eastAsia" w:ascii="仿宋" w:hAnsi="仿宋" w:eastAsia="仿宋" w:cs="仿宋"/>
          <w:sz w:val="32"/>
          <w:szCs w:val="32"/>
        </w:rPr>
        <w:t>第三十一条   公安机关根据本地区工作实际，定期组织易制爆危险化学品从业单位监督检查；在重大节日、重大活动前或者期间组织监督抽查。</w:t>
      </w:r>
    </w:p>
    <w:p>
      <w:pPr>
        <w:pStyle w:val="3"/>
        <w:rPr>
          <w:rFonts w:hint="eastAsia" w:ascii="仿宋" w:hAnsi="仿宋" w:eastAsia="仿宋" w:cs="仿宋"/>
          <w:sz w:val="32"/>
          <w:szCs w:val="32"/>
        </w:rPr>
      </w:pPr>
      <w:r>
        <w:rPr>
          <w:rFonts w:hint="eastAsia" w:ascii="仿宋" w:hAnsi="仿宋" w:eastAsia="仿宋" w:cs="仿宋"/>
          <w:sz w:val="32"/>
          <w:szCs w:val="32"/>
        </w:rPr>
        <w:t>公安机关人民警察进行监督检查时应当出示人民警察证，表明执法身份，不得从事与职务无关的活动。</w:t>
      </w:r>
    </w:p>
    <w:p>
      <w:pPr>
        <w:pStyle w:val="3"/>
        <w:rPr>
          <w:rFonts w:hint="eastAsia" w:ascii="仿宋" w:hAnsi="仿宋" w:eastAsia="仿宋" w:cs="仿宋"/>
          <w:sz w:val="32"/>
          <w:szCs w:val="32"/>
        </w:rPr>
      </w:pPr>
      <w:r>
        <w:rPr>
          <w:rFonts w:hint="eastAsia" w:ascii="仿宋" w:hAnsi="仿宋" w:eastAsia="仿宋" w:cs="仿宋"/>
          <w:sz w:val="32"/>
          <w:szCs w:val="32"/>
        </w:rPr>
        <w:t>第三十二条   监督检查内容包括：</w:t>
      </w:r>
    </w:p>
    <w:p>
      <w:pPr>
        <w:pStyle w:val="3"/>
        <w:rPr>
          <w:rFonts w:hint="eastAsia" w:ascii="仿宋" w:hAnsi="仿宋" w:eastAsia="仿宋" w:cs="仿宋"/>
          <w:sz w:val="32"/>
          <w:szCs w:val="32"/>
        </w:rPr>
      </w:pPr>
      <w:r>
        <w:rPr>
          <w:rFonts w:hint="eastAsia" w:ascii="仿宋" w:hAnsi="仿宋" w:eastAsia="仿宋" w:cs="仿宋"/>
          <w:sz w:val="32"/>
          <w:szCs w:val="32"/>
        </w:rPr>
        <w:t>（一）易制爆危险化学品从业单位持有相关许可证件情况；</w:t>
      </w:r>
    </w:p>
    <w:p>
      <w:pPr>
        <w:pStyle w:val="3"/>
        <w:rPr>
          <w:rFonts w:hint="eastAsia" w:ascii="仿宋" w:hAnsi="仿宋" w:eastAsia="仿宋" w:cs="仿宋"/>
          <w:sz w:val="32"/>
          <w:szCs w:val="32"/>
        </w:rPr>
      </w:pPr>
      <w:r>
        <w:rPr>
          <w:rFonts w:hint="eastAsia" w:ascii="仿宋" w:hAnsi="仿宋" w:eastAsia="仿宋" w:cs="仿宋"/>
          <w:sz w:val="32"/>
          <w:szCs w:val="32"/>
        </w:rPr>
        <w:t>（二）销售、购买、处置、使用、运输易制爆危险化学品是否符合有关规定；</w:t>
      </w:r>
    </w:p>
    <w:p>
      <w:pPr>
        <w:pStyle w:val="3"/>
        <w:rPr>
          <w:rFonts w:hint="eastAsia" w:ascii="仿宋" w:hAnsi="仿宋" w:eastAsia="仿宋" w:cs="仿宋"/>
          <w:sz w:val="32"/>
          <w:szCs w:val="32"/>
        </w:rPr>
      </w:pPr>
      <w:r>
        <w:rPr>
          <w:rFonts w:hint="eastAsia" w:ascii="仿宋" w:hAnsi="仿宋" w:eastAsia="仿宋" w:cs="仿宋"/>
          <w:sz w:val="32"/>
          <w:szCs w:val="32"/>
        </w:rPr>
        <w:t>（三）易制爆危险化学品信息发布是否符合有关规定；</w:t>
      </w:r>
    </w:p>
    <w:p>
      <w:pPr>
        <w:pStyle w:val="3"/>
        <w:rPr>
          <w:rFonts w:hint="eastAsia" w:ascii="仿宋" w:hAnsi="仿宋" w:eastAsia="仿宋" w:cs="仿宋"/>
          <w:sz w:val="32"/>
          <w:szCs w:val="32"/>
        </w:rPr>
      </w:pPr>
      <w:r>
        <w:rPr>
          <w:rFonts w:hint="eastAsia" w:ascii="仿宋" w:hAnsi="仿宋" w:eastAsia="仿宋" w:cs="仿宋"/>
          <w:sz w:val="32"/>
          <w:szCs w:val="32"/>
        </w:rPr>
        <w:t>（四）易制爆危险化学品流向登记是否符合有关规定；</w:t>
      </w:r>
    </w:p>
    <w:p>
      <w:pPr>
        <w:pStyle w:val="3"/>
        <w:rPr>
          <w:rFonts w:hint="eastAsia" w:ascii="仿宋" w:hAnsi="仿宋" w:eastAsia="仿宋" w:cs="仿宋"/>
          <w:sz w:val="32"/>
          <w:szCs w:val="32"/>
        </w:rPr>
      </w:pPr>
      <w:r>
        <w:rPr>
          <w:rFonts w:hint="eastAsia" w:ascii="仿宋" w:hAnsi="仿宋" w:eastAsia="仿宋" w:cs="仿宋"/>
          <w:sz w:val="32"/>
          <w:szCs w:val="32"/>
        </w:rPr>
        <w:t>（五）易制爆危险化学品从业单位治安保卫机构、制度建设是否符合有关规定；</w:t>
      </w:r>
    </w:p>
    <w:p>
      <w:pPr>
        <w:pStyle w:val="3"/>
        <w:rPr>
          <w:rFonts w:hint="eastAsia" w:ascii="仿宋" w:hAnsi="仿宋" w:eastAsia="仿宋" w:cs="仿宋"/>
          <w:sz w:val="32"/>
          <w:szCs w:val="32"/>
        </w:rPr>
      </w:pPr>
      <w:r>
        <w:rPr>
          <w:rFonts w:hint="eastAsia" w:ascii="仿宋" w:hAnsi="仿宋" w:eastAsia="仿宋" w:cs="仿宋"/>
          <w:sz w:val="32"/>
          <w:szCs w:val="32"/>
        </w:rPr>
        <w:t>（六）易制爆危险化学品从业单位及其储存场所治安防范设施是否符合有关规定；</w:t>
      </w:r>
    </w:p>
    <w:p>
      <w:pPr>
        <w:pStyle w:val="3"/>
        <w:rPr>
          <w:rFonts w:hint="eastAsia" w:ascii="仿宋" w:hAnsi="仿宋" w:eastAsia="仿宋" w:cs="仿宋"/>
          <w:sz w:val="32"/>
          <w:szCs w:val="32"/>
        </w:rPr>
      </w:pPr>
      <w:r>
        <w:rPr>
          <w:rFonts w:hint="eastAsia" w:ascii="仿宋" w:hAnsi="仿宋" w:eastAsia="仿宋" w:cs="仿宋"/>
          <w:sz w:val="32"/>
          <w:szCs w:val="32"/>
        </w:rPr>
        <w:t>（七）法律、法规、规范和标准规定的其他内容。</w:t>
      </w:r>
    </w:p>
    <w:p>
      <w:pPr>
        <w:pStyle w:val="3"/>
        <w:rPr>
          <w:rFonts w:hint="eastAsia" w:ascii="仿宋" w:hAnsi="仿宋" w:eastAsia="仿宋" w:cs="仿宋"/>
          <w:sz w:val="32"/>
          <w:szCs w:val="32"/>
        </w:rPr>
      </w:pPr>
      <w:r>
        <w:rPr>
          <w:rFonts w:hint="eastAsia" w:ascii="仿宋" w:hAnsi="仿宋" w:eastAsia="仿宋" w:cs="仿宋"/>
          <w:sz w:val="32"/>
          <w:szCs w:val="32"/>
        </w:rPr>
        <w:t>第三十三条   监督检查应当记录在案，归档管理。监督检查记录包括：</w:t>
      </w:r>
    </w:p>
    <w:p>
      <w:pPr>
        <w:pStyle w:val="3"/>
        <w:rPr>
          <w:rFonts w:hint="eastAsia" w:ascii="仿宋" w:hAnsi="仿宋" w:eastAsia="仿宋" w:cs="仿宋"/>
          <w:sz w:val="32"/>
          <w:szCs w:val="32"/>
        </w:rPr>
      </w:pPr>
      <w:r>
        <w:rPr>
          <w:rFonts w:hint="eastAsia" w:ascii="仿宋" w:hAnsi="仿宋" w:eastAsia="仿宋" w:cs="仿宋"/>
          <w:sz w:val="32"/>
          <w:szCs w:val="32"/>
        </w:rPr>
        <w:t>（一）执行监督检查任务的人员姓名、单位、职务、警号；</w:t>
      </w:r>
    </w:p>
    <w:p>
      <w:pPr>
        <w:pStyle w:val="3"/>
        <w:rPr>
          <w:rFonts w:hint="eastAsia" w:ascii="仿宋" w:hAnsi="仿宋" w:eastAsia="仿宋" w:cs="仿宋"/>
          <w:sz w:val="32"/>
          <w:szCs w:val="32"/>
        </w:rPr>
      </w:pPr>
      <w:r>
        <w:rPr>
          <w:rFonts w:hint="eastAsia" w:ascii="仿宋" w:hAnsi="仿宋" w:eastAsia="仿宋" w:cs="仿宋"/>
          <w:sz w:val="32"/>
          <w:szCs w:val="32"/>
        </w:rPr>
        <w:t>（二）监督检查的时间、地点、单位名称、检查事项；</w:t>
      </w:r>
    </w:p>
    <w:p>
      <w:pPr>
        <w:pStyle w:val="3"/>
        <w:rPr>
          <w:rFonts w:hint="eastAsia" w:ascii="仿宋" w:hAnsi="仿宋" w:eastAsia="仿宋" w:cs="仿宋"/>
          <w:sz w:val="32"/>
          <w:szCs w:val="32"/>
        </w:rPr>
      </w:pPr>
      <w:r>
        <w:rPr>
          <w:rFonts w:hint="eastAsia" w:ascii="仿宋" w:hAnsi="仿宋" w:eastAsia="仿宋" w:cs="仿宋"/>
          <w:sz w:val="32"/>
          <w:szCs w:val="32"/>
        </w:rPr>
        <w:t>（三）发现的隐患问题及处理结果。</w:t>
      </w:r>
    </w:p>
    <w:p>
      <w:pPr>
        <w:pStyle w:val="3"/>
        <w:rPr>
          <w:rFonts w:hint="eastAsia" w:ascii="仿宋" w:hAnsi="仿宋" w:eastAsia="仿宋" w:cs="仿宋"/>
          <w:sz w:val="32"/>
          <w:szCs w:val="32"/>
        </w:rPr>
      </w:pPr>
      <w:r>
        <w:rPr>
          <w:rFonts w:hint="eastAsia" w:ascii="仿宋" w:hAnsi="仿宋" w:eastAsia="仿宋" w:cs="仿宋"/>
          <w:sz w:val="32"/>
          <w:szCs w:val="32"/>
        </w:rPr>
        <w:t>第三十四条   监督检查记录一式两份，由监督检查人员、被检查单位管理人员签字确认；被检查单位管理人员对检查记录有异议或者拒绝签名的，检查人员应当在检查记录中注明。</w:t>
      </w:r>
    </w:p>
    <w:p>
      <w:pPr>
        <w:pStyle w:val="3"/>
        <w:rPr>
          <w:rFonts w:hint="eastAsia" w:ascii="仿宋" w:hAnsi="仿宋" w:eastAsia="仿宋" w:cs="仿宋"/>
          <w:sz w:val="32"/>
          <w:szCs w:val="32"/>
        </w:rPr>
      </w:pPr>
      <w:r>
        <w:rPr>
          <w:rFonts w:hint="eastAsia" w:ascii="仿宋" w:hAnsi="仿宋" w:eastAsia="仿宋" w:cs="仿宋"/>
          <w:sz w:val="32"/>
          <w:szCs w:val="32"/>
        </w:rPr>
        <w:t>第三十五条   公安机关应当建立易制爆危险化学品从业单位风险评估、分级预警机制和与有关部门信息共享通报机制。</w:t>
      </w:r>
    </w:p>
    <w:p>
      <w:pPr>
        <w:pStyle w:val="3"/>
        <w:rPr>
          <w:rFonts w:hint="eastAsia" w:ascii="仿宋" w:hAnsi="仿宋" w:eastAsia="仿宋" w:cs="仿宋"/>
          <w:sz w:val="32"/>
          <w:szCs w:val="32"/>
        </w:rPr>
      </w:pPr>
      <w:r>
        <w:rPr>
          <w:rFonts w:hint="eastAsia" w:ascii="仿宋" w:hAnsi="仿宋" w:eastAsia="仿宋" w:cs="仿宋"/>
          <w:sz w:val="32"/>
          <w:szCs w:val="32"/>
        </w:rPr>
        <w:t xml:space="preserve">第六章   法律责任  </w:t>
      </w:r>
    </w:p>
    <w:p>
      <w:pPr>
        <w:pStyle w:val="3"/>
        <w:rPr>
          <w:rFonts w:hint="eastAsia" w:ascii="仿宋" w:hAnsi="仿宋" w:eastAsia="仿宋" w:cs="仿宋"/>
          <w:sz w:val="32"/>
          <w:szCs w:val="32"/>
        </w:rPr>
      </w:pPr>
      <w:r>
        <w:rPr>
          <w:rFonts w:hint="eastAsia" w:ascii="仿宋" w:hAnsi="仿宋" w:eastAsia="仿宋" w:cs="仿宋"/>
          <w:sz w:val="32"/>
          <w:szCs w:val="32"/>
        </w:rPr>
        <w:t>第三十六条   违反本办法第六条第一款规定的，由公安机关责令限期改正，可以处一万元以下罚款；逾期不改正的，处违法所得三倍以下且不超过三万元罚款，没有违法所得的，处一万元以下罚款。</w:t>
      </w:r>
    </w:p>
    <w:p>
      <w:pPr>
        <w:pStyle w:val="3"/>
        <w:rPr>
          <w:rFonts w:hint="eastAsia" w:ascii="仿宋" w:hAnsi="仿宋" w:eastAsia="仿宋" w:cs="仿宋"/>
          <w:sz w:val="32"/>
          <w:szCs w:val="32"/>
        </w:rPr>
      </w:pPr>
      <w:r>
        <w:rPr>
          <w:rFonts w:hint="eastAsia" w:ascii="仿宋" w:hAnsi="仿宋" w:eastAsia="仿宋" w:cs="仿宋"/>
          <w:sz w:val="32"/>
          <w:szCs w:val="32"/>
        </w:rPr>
        <w:t>第三十七条   违反本办法第十条、第十一条、第十八条第一款规定的，由公安机关依照《危险化学品安全管理条例》第八十四条第二款、第三款的规定处罚。</w:t>
      </w:r>
    </w:p>
    <w:p>
      <w:pPr>
        <w:pStyle w:val="3"/>
        <w:rPr>
          <w:rFonts w:hint="eastAsia" w:ascii="仿宋" w:hAnsi="仿宋" w:eastAsia="仿宋" w:cs="仿宋"/>
          <w:sz w:val="32"/>
          <w:szCs w:val="32"/>
        </w:rPr>
      </w:pPr>
      <w:r>
        <w:rPr>
          <w:rFonts w:hint="eastAsia" w:ascii="仿宋" w:hAnsi="仿宋" w:eastAsia="仿宋" w:cs="仿宋"/>
          <w:sz w:val="32"/>
          <w:szCs w:val="32"/>
        </w:rPr>
        <w:t>第三十八条   违反本办法第十三条、第十五条规定的，由公安机关依照《中华人民共和国反恐怖主义法》第八十七条的规定处罚。</w:t>
      </w:r>
    </w:p>
    <w:p>
      <w:pPr>
        <w:pStyle w:val="3"/>
        <w:rPr>
          <w:rFonts w:hint="eastAsia" w:ascii="仿宋" w:hAnsi="仿宋" w:eastAsia="仿宋" w:cs="仿宋"/>
          <w:sz w:val="32"/>
          <w:szCs w:val="32"/>
        </w:rPr>
      </w:pPr>
      <w:r>
        <w:rPr>
          <w:rFonts w:hint="eastAsia" w:ascii="仿宋" w:hAnsi="仿宋" w:eastAsia="仿宋" w:cs="仿宋"/>
          <w:sz w:val="32"/>
          <w:szCs w:val="32"/>
        </w:rPr>
        <w:t>第三十九条   违反本办法第十四条、第十六条、第十八条第二款、第二十八条第二款规定的，由公安机关依照《危险化学品安全管理条例》第八十一条的规定处罚。</w:t>
      </w:r>
    </w:p>
    <w:p>
      <w:pPr>
        <w:pStyle w:val="3"/>
        <w:rPr>
          <w:rFonts w:hint="eastAsia" w:ascii="仿宋" w:hAnsi="仿宋" w:eastAsia="仿宋" w:cs="仿宋"/>
          <w:sz w:val="32"/>
          <w:szCs w:val="32"/>
        </w:rPr>
      </w:pPr>
      <w:r>
        <w:rPr>
          <w:rFonts w:hint="eastAsia" w:ascii="仿宋" w:hAnsi="仿宋" w:eastAsia="仿宋" w:cs="仿宋"/>
          <w:sz w:val="32"/>
          <w:szCs w:val="32"/>
        </w:rPr>
        <w:t>第四十条   违反本办法第十七条规定的，由公安机关依照《危险化学品安全管理条例》第八十二条第二款的规定处罚。</w:t>
      </w:r>
    </w:p>
    <w:p>
      <w:pPr>
        <w:pStyle w:val="3"/>
        <w:rPr>
          <w:rFonts w:hint="eastAsia" w:ascii="仿宋" w:hAnsi="仿宋" w:eastAsia="仿宋" w:cs="仿宋"/>
          <w:sz w:val="32"/>
          <w:szCs w:val="32"/>
        </w:rPr>
      </w:pPr>
      <w:r>
        <w:rPr>
          <w:rFonts w:hint="eastAsia" w:ascii="仿宋" w:hAnsi="仿宋" w:eastAsia="仿宋" w:cs="仿宋"/>
          <w:sz w:val="32"/>
          <w:szCs w:val="32"/>
        </w:rPr>
        <w:t>第四十一条   违反本办法第十九条、第二十条规定的，由公安机关依照《危险化学品安全管理条例》第八十九条第三项、第四项的规定处罚。</w:t>
      </w:r>
    </w:p>
    <w:p>
      <w:pPr>
        <w:pStyle w:val="3"/>
        <w:rPr>
          <w:rFonts w:hint="eastAsia" w:ascii="仿宋" w:hAnsi="仿宋" w:eastAsia="仿宋" w:cs="仿宋"/>
          <w:sz w:val="32"/>
          <w:szCs w:val="32"/>
        </w:rPr>
      </w:pPr>
      <w:r>
        <w:rPr>
          <w:rFonts w:hint="eastAsia" w:ascii="仿宋" w:hAnsi="仿宋" w:eastAsia="仿宋" w:cs="仿宋"/>
          <w:sz w:val="32"/>
          <w:szCs w:val="32"/>
        </w:rPr>
        <w:t>第四十二条   违反本办法第二十三条、第二十四条规定的，由公安机关责令改正，给予警告，对非经营活动处一千元以下罚款，对经营活动处违法所得三倍以下且不超过三万元罚款，没有违法所得的，处一万元以下罚款。</w:t>
      </w:r>
    </w:p>
    <w:p>
      <w:pPr>
        <w:pStyle w:val="3"/>
        <w:rPr>
          <w:rFonts w:hint="eastAsia" w:ascii="仿宋" w:hAnsi="仿宋" w:eastAsia="仿宋" w:cs="仿宋"/>
          <w:sz w:val="32"/>
          <w:szCs w:val="32"/>
        </w:rPr>
      </w:pPr>
      <w:r>
        <w:rPr>
          <w:rFonts w:hint="eastAsia" w:ascii="仿宋" w:hAnsi="仿宋" w:eastAsia="仿宋" w:cs="仿宋"/>
          <w:sz w:val="32"/>
          <w:szCs w:val="32"/>
        </w:rPr>
        <w:t>第四十三条   违反本办法第二十五条、第二十七条关于人力防范、实体防范规定，存在治安隐患的，由公安机关依照《企业事业单位内部治安保卫条例》第十九条的规定处罚。</w:t>
      </w:r>
    </w:p>
    <w:p>
      <w:pPr>
        <w:pStyle w:val="3"/>
        <w:rPr>
          <w:rFonts w:hint="eastAsia" w:ascii="仿宋" w:hAnsi="仿宋" w:eastAsia="仿宋" w:cs="仿宋"/>
          <w:sz w:val="32"/>
          <w:szCs w:val="32"/>
        </w:rPr>
      </w:pPr>
      <w:r>
        <w:rPr>
          <w:rFonts w:hint="eastAsia" w:ascii="仿宋" w:hAnsi="仿宋" w:eastAsia="仿宋" w:cs="仿宋"/>
          <w:sz w:val="32"/>
          <w:szCs w:val="32"/>
        </w:rPr>
        <w:t>第四十四条   违反本办法第二十七条关于技术防范设施设置要求规定的，由公安机关依照《危险化学品安全管理条例》第七十八条第二款的规定处罚。</w:t>
      </w:r>
    </w:p>
    <w:p>
      <w:pPr>
        <w:pStyle w:val="3"/>
        <w:rPr>
          <w:rFonts w:hint="eastAsia" w:ascii="仿宋" w:hAnsi="仿宋" w:eastAsia="仿宋" w:cs="仿宋"/>
          <w:sz w:val="32"/>
          <w:szCs w:val="32"/>
        </w:rPr>
      </w:pPr>
      <w:r>
        <w:rPr>
          <w:rFonts w:hint="eastAsia" w:ascii="仿宋" w:hAnsi="仿宋" w:eastAsia="仿宋" w:cs="仿宋"/>
          <w:sz w:val="32"/>
          <w:szCs w:val="32"/>
        </w:rPr>
        <w:t>第四十五条   任何单位和个人违反本办法规定，构成违反治安管理行为的，依照《中华人民共和国治安管理处罚法》的规定予以处罚；构成犯罪的，依法追究刑事责任。</w:t>
      </w:r>
    </w:p>
    <w:p>
      <w:pPr>
        <w:pStyle w:val="3"/>
        <w:rPr>
          <w:rFonts w:hint="eastAsia" w:ascii="仿宋" w:hAnsi="仿宋" w:eastAsia="仿宋" w:cs="仿宋"/>
          <w:sz w:val="32"/>
          <w:szCs w:val="32"/>
        </w:rPr>
      </w:pPr>
      <w:r>
        <w:rPr>
          <w:rFonts w:hint="eastAsia" w:ascii="仿宋" w:hAnsi="仿宋" w:eastAsia="仿宋" w:cs="仿宋"/>
          <w:sz w:val="32"/>
          <w:szCs w:val="32"/>
        </w:rPr>
        <w:t>第四十六条   公安机关发现涉及其他主管部门的易制爆危险化学品违法违规行为，应当书面通报其他主管部门依法查处。</w:t>
      </w:r>
    </w:p>
    <w:p>
      <w:pPr>
        <w:pStyle w:val="3"/>
        <w:rPr>
          <w:rFonts w:hint="eastAsia" w:ascii="仿宋" w:hAnsi="仿宋" w:eastAsia="仿宋" w:cs="仿宋"/>
          <w:sz w:val="32"/>
          <w:szCs w:val="32"/>
        </w:rPr>
      </w:pPr>
      <w:r>
        <w:rPr>
          <w:rFonts w:hint="eastAsia" w:ascii="仿宋" w:hAnsi="仿宋" w:eastAsia="仿宋" w:cs="仿宋"/>
          <w:sz w:val="32"/>
          <w:szCs w:val="32"/>
        </w:rPr>
        <w:t>第四十七条   公安机关人民警察在易制爆危险化学品治安管理中滥用职权、玩忽职守或者徇私舞弊，构成犯罪的，依法追究刑事责任；尚不构成犯罪的，依法给予行政处分。</w:t>
      </w:r>
    </w:p>
    <w:p>
      <w:pPr>
        <w:pStyle w:val="3"/>
        <w:rPr>
          <w:rFonts w:hint="eastAsia" w:ascii="仿宋" w:hAnsi="仿宋" w:eastAsia="仿宋" w:cs="仿宋"/>
          <w:sz w:val="32"/>
          <w:szCs w:val="32"/>
        </w:rPr>
      </w:pPr>
      <w:r>
        <w:rPr>
          <w:rFonts w:hint="eastAsia" w:ascii="仿宋" w:hAnsi="仿宋" w:eastAsia="仿宋" w:cs="仿宋"/>
          <w:sz w:val="32"/>
          <w:szCs w:val="32"/>
        </w:rPr>
        <w:t xml:space="preserve">第七章   附   则  </w:t>
      </w:r>
    </w:p>
    <w:p>
      <w:pPr>
        <w:pStyle w:val="3"/>
        <w:rPr>
          <w:rFonts w:hint="eastAsia" w:ascii="仿宋" w:hAnsi="仿宋" w:eastAsia="仿宋" w:cs="仿宋"/>
          <w:sz w:val="32"/>
          <w:szCs w:val="32"/>
        </w:rPr>
      </w:pPr>
      <w:r>
        <w:rPr>
          <w:rFonts w:hint="eastAsia" w:ascii="仿宋" w:hAnsi="仿宋" w:eastAsia="仿宋" w:cs="仿宋"/>
          <w:sz w:val="32"/>
          <w:szCs w:val="32"/>
        </w:rPr>
        <w:t>第四十八条   含有易制爆危险化学品的食品添加剂、药品、兽药、消毒剂等生活用品，其生产单位按照易制爆危险化学品使用单位管理，其成品的生产、销售、购买（含个人购买）、储存、使用、运输和处置等不适用本办法，分别执行《中华人民共和国食品安全法》《中华人民共和国药品管理法》《兽药管理条例》《消毒管理办法》等有关规定。</w:t>
      </w:r>
    </w:p>
    <w:p>
      <w:pPr>
        <w:pStyle w:val="3"/>
        <w:rPr>
          <w:rFonts w:hint="eastAsia" w:ascii="仿宋" w:hAnsi="仿宋" w:eastAsia="仿宋" w:cs="仿宋"/>
          <w:sz w:val="32"/>
          <w:szCs w:val="32"/>
        </w:rPr>
      </w:pPr>
      <w:r>
        <w:rPr>
          <w:rFonts w:hint="eastAsia" w:ascii="仿宋" w:hAnsi="仿宋" w:eastAsia="仿宋" w:cs="仿宋"/>
          <w:sz w:val="32"/>
          <w:szCs w:val="32"/>
        </w:rPr>
        <w:t>第四十九条   易制爆危险化学品从业单位和相关场所、活动、设施等确定为防范恐怖袭击重点目标的，应当执行《中华人民共和国反恐怖主义法》的有关规定。</w:t>
      </w:r>
    </w:p>
    <w:p>
      <w:pPr>
        <w:pStyle w:val="3"/>
        <w:rPr>
          <w:rFonts w:hint="eastAsia" w:ascii="仿宋" w:hAnsi="仿宋" w:eastAsia="仿宋" w:cs="仿宋"/>
          <w:sz w:val="32"/>
          <w:szCs w:val="32"/>
        </w:rPr>
      </w:pPr>
      <w:r>
        <w:rPr>
          <w:rFonts w:hint="eastAsia" w:ascii="仿宋" w:hAnsi="仿宋" w:eastAsia="仿宋" w:cs="仿宋"/>
          <w:sz w:val="32"/>
          <w:szCs w:val="32"/>
        </w:rPr>
        <w:t>第五十条   易制爆危险化学品的进出口管理，依照有关对外贸易的法律、行政法规、规章的规定执行；进口的易制爆危险化学品的储存、使用、经营、运输、处置的安全管理，依照本办法的规定执行。</w:t>
      </w:r>
    </w:p>
    <w:p>
      <w:pPr>
        <w:pStyle w:val="3"/>
        <w:rPr>
          <w:rFonts w:hint="eastAsia" w:ascii="仿宋" w:hAnsi="仿宋" w:eastAsia="仿宋" w:cs="仿宋"/>
          <w:sz w:val="32"/>
          <w:szCs w:val="32"/>
        </w:rPr>
      </w:pPr>
      <w:r>
        <w:rPr>
          <w:rFonts w:hint="eastAsia" w:ascii="仿宋" w:hAnsi="仿宋" w:eastAsia="仿宋" w:cs="仿宋"/>
          <w:sz w:val="32"/>
          <w:szCs w:val="32"/>
        </w:rPr>
        <w:t>第五十一条   本办法所称“以下”均包括本数。</w:t>
      </w:r>
    </w:p>
    <w:p>
      <w:pPr>
        <w:pStyle w:val="3"/>
        <w:rPr>
          <w:rFonts w:hint="eastAsia" w:ascii="仿宋" w:hAnsi="仿宋" w:eastAsia="仿宋" w:cs="仿宋"/>
          <w:sz w:val="32"/>
          <w:szCs w:val="32"/>
        </w:rPr>
      </w:pPr>
      <w:r>
        <w:rPr>
          <w:rFonts w:hint="eastAsia" w:ascii="仿宋" w:hAnsi="仿宋" w:eastAsia="仿宋" w:cs="仿宋"/>
          <w:sz w:val="32"/>
          <w:szCs w:val="32"/>
        </w:rPr>
        <w:t>第五十二条   本办法自 2019 年 8 月 10 日起施行。</w:t>
      </w:r>
    </w:p>
    <w:p>
      <w:pPr>
        <w:pStyle w:val="24"/>
        <w:rPr>
          <w:rFonts w:hint="eastAsia" w:ascii="仿宋" w:hAnsi="仿宋" w:eastAsia="仿宋" w:cs="仿宋"/>
          <w:sz w:val="32"/>
          <w:szCs w:val="32"/>
        </w:rPr>
      </w:pPr>
      <w:r>
        <w:rPr>
          <w:rFonts w:hint="eastAsia" w:ascii="仿宋" w:hAnsi="仿宋" w:eastAsia="仿宋" w:cs="仿宋"/>
          <w:sz w:val="32"/>
          <w:szCs w:val="32"/>
        </w:rPr>
        <w:br w:type="textWrapping"/>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86"/>
    <w:family w:val="auto"/>
    <w:pitch w:val="default"/>
    <w:sig w:usb0="E00006FF" w:usb1="420024FF" w:usb2="02000000" w:usb3="00000000" w:csb0="2000019F" w:csb1="00000000"/>
  </w:font>
  <w:font w:name="Cambria">
    <w:panose1 w:val="02040503050406030204"/>
    <w:charset w:val="00"/>
    <w:family w:val="auto"/>
    <w:pitch w:val="default"/>
    <w:sig w:usb0="E00006FF" w:usb1="420024FF" w:usb2="02000000" w:usb3="00000000" w:csb0="2000019F" w:csb1="00000000"/>
  </w:font>
  <w:font w:name="Consolas">
    <w:panose1 w:val="020B0609020204030204"/>
    <w:charset w:val="00"/>
    <w:family w:val="auto"/>
    <w:pitch w:val="default"/>
    <w:sig w:usb0="E00006FF" w:usb1="0000FCFF" w:usb2="00000001" w:usb3="00000000" w:csb0="6000019F" w:csb1="DFD7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doNotTrackMoves/>
  <w:documentProtection w:enforcement="0"/>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D07"/>
    <w:rsid w:val="00011C8B"/>
    <w:rsid w:val="004E29B3"/>
    <w:rsid w:val="00590D07"/>
    <w:rsid w:val="00784D58"/>
    <w:rsid w:val="008D6863"/>
    <w:rsid w:val="00B86B75"/>
    <w:rsid w:val="00BC48D5"/>
    <w:rsid w:val="00C36279"/>
    <w:rsid w:val="00E315A3"/>
    <w:rsid w:val="62EE1F8F"/>
  </w:rsids>
  <m:mathPr>
    <m:mathFont m:val="Lucida Grande"/>
    <m:brkBin m:val="before"/>
    <m:brkBinSub m:val="--"/>
    <m:smallFrac m:val="0"/>
    <m:dispDef m:val="0"/>
    <m:lMargin m:val="0"/>
    <m:rMargin m:val="0"/>
    <m:defJc m:val="centerGroup"/>
    <m:wrapIndent m:val="1440"/>
    <m:intLim m:val="subSup"/>
    <m:naryLim m:val="subSup"/>
    <m:wrapRight m:val="1"/>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pPr>
    <w:rPr>
      <w:rFonts w:asciiTheme="minorHAnsi" w:hAnsiTheme="minorHAnsi" w:eastAsiaTheme="minorHAnsi" w:cstheme="minorBidi"/>
      <w:sz w:val="24"/>
      <w:szCs w:val="24"/>
      <w:lang w:val="en" w:eastAsia="en-US" w:bidi="ar-SA"/>
    </w:rPr>
  </w:style>
  <w:style w:type="paragraph" w:styleId="2">
    <w:name w:val="heading 1"/>
    <w:basedOn w:val="1"/>
    <w:next w:val="3"/>
    <w:qFormat/>
    <w:uiPriority w:val="9"/>
    <w:pPr>
      <w:keepNext/>
      <w:keepLines/>
      <w:spacing w:before="480" w:after="0"/>
      <w:outlineLvl w:val="0"/>
    </w:pPr>
    <w:rPr>
      <w:rFonts w:asciiTheme="majorHAnsi" w:hAnsiTheme="majorHAnsi" w:eastAsiaTheme="majorEastAsia" w:cstheme="majorBidi"/>
      <w:b/>
      <w:bCs/>
      <w:color w:val="335B8A" w:themeColor="accent1" w:themeShade="B5"/>
      <w:sz w:val="32"/>
      <w:szCs w:val="32"/>
    </w:rPr>
  </w:style>
  <w:style w:type="paragraph" w:styleId="4">
    <w:name w:val="heading 2"/>
    <w:basedOn w:val="1"/>
    <w:next w:val="3"/>
    <w:unhideWhenUsed/>
    <w:qFormat/>
    <w:uiPriority w:val="9"/>
    <w:pPr>
      <w:keepNext/>
      <w:keepLines/>
      <w:spacing w:before="200" w:after="0"/>
      <w:outlineLvl w:val="1"/>
    </w:pPr>
    <w:rPr>
      <w:rFonts w:asciiTheme="majorHAnsi" w:hAnsiTheme="majorHAnsi" w:eastAsiaTheme="majorEastAsia" w:cstheme="majorBidi"/>
      <w:b/>
      <w:bCs/>
      <w:color w:val="4F81BD" w:themeColor="accent1"/>
      <w:sz w:val="32"/>
      <w:szCs w:val="32"/>
    </w:rPr>
  </w:style>
  <w:style w:type="paragraph" w:styleId="5">
    <w:name w:val="heading 3"/>
    <w:basedOn w:val="1"/>
    <w:next w:val="3"/>
    <w:unhideWhenUsed/>
    <w:qFormat/>
    <w:uiPriority w:val="9"/>
    <w:pPr>
      <w:keepNext/>
      <w:keepLines/>
      <w:spacing w:before="200" w:after="0"/>
      <w:outlineLvl w:val="2"/>
    </w:pPr>
    <w:rPr>
      <w:rFonts w:asciiTheme="majorHAnsi" w:hAnsiTheme="majorHAnsi" w:eastAsiaTheme="majorEastAsia" w:cstheme="majorBidi"/>
      <w:b/>
      <w:bCs/>
      <w:color w:val="4F81BD" w:themeColor="accent1"/>
      <w:sz w:val="28"/>
      <w:szCs w:val="28"/>
    </w:rPr>
  </w:style>
  <w:style w:type="paragraph" w:styleId="6">
    <w:name w:val="heading 4"/>
    <w:basedOn w:val="1"/>
    <w:next w:val="3"/>
    <w:unhideWhenUsed/>
    <w:qFormat/>
    <w:uiPriority w:val="9"/>
    <w:pPr>
      <w:keepNext/>
      <w:keepLines/>
      <w:spacing w:before="200" w:after="0"/>
      <w:outlineLvl w:val="3"/>
    </w:pPr>
    <w:rPr>
      <w:rFonts w:asciiTheme="majorHAnsi" w:hAnsiTheme="majorHAnsi" w:eastAsiaTheme="majorEastAsia" w:cstheme="majorBidi"/>
      <w:b/>
      <w:bCs/>
      <w:color w:val="4F81BD" w:themeColor="accent1"/>
      <w:sz w:val="24"/>
      <w:szCs w:val="24"/>
    </w:rPr>
  </w:style>
  <w:style w:type="paragraph" w:styleId="7">
    <w:name w:val="heading 5"/>
    <w:basedOn w:val="1"/>
    <w:next w:val="3"/>
    <w:unhideWhenUsed/>
    <w:qFormat/>
    <w:uiPriority w:val="9"/>
    <w:pPr>
      <w:keepNext/>
      <w:keepLines/>
      <w:spacing w:before="200" w:after="0"/>
      <w:outlineLvl w:val="4"/>
    </w:pPr>
    <w:rPr>
      <w:rFonts w:asciiTheme="majorHAnsi" w:hAnsiTheme="majorHAnsi" w:eastAsiaTheme="majorEastAsia" w:cstheme="majorBidi"/>
      <w:i/>
      <w:iCs/>
      <w:color w:val="4F81BD" w:themeColor="accent1"/>
      <w:sz w:val="24"/>
      <w:szCs w:val="24"/>
    </w:rPr>
  </w:style>
  <w:style w:type="paragraph" w:styleId="8">
    <w:name w:val="heading 6"/>
    <w:basedOn w:val="1"/>
    <w:next w:val="3"/>
    <w:unhideWhenUsed/>
    <w:qFormat/>
    <w:uiPriority w:val="9"/>
    <w:pPr>
      <w:keepNext/>
      <w:keepLines/>
      <w:spacing w:before="200" w:after="0"/>
      <w:outlineLvl w:val="5"/>
    </w:pPr>
    <w:rPr>
      <w:rFonts w:asciiTheme="majorHAnsi" w:hAnsiTheme="majorHAnsi" w:eastAsiaTheme="majorEastAsia" w:cstheme="majorBidi"/>
      <w:color w:val="4F81BD" w:themeColor="accent1"/>
      <w:sz w:val="24"/>
      <w:szCs w:val="24"/>
    </w:rPr>
  </w:style>
  <w:style w:type="paragraph" w:styleId="9">
    <w:name w:val="heading 7"/>
    <w:basedOn w:val="1"/>
    <w:next w:val="3"/>
    <w:unhideWhenUsed/>
    <w:qFormat/>
    <w:uiPriority w:val="9"/>
    <w:pPr>
      <w:keepNext/>
      <w:keepLines/>
      <w:spacing w:before="200" w:after="0"/>
      <w:outlineLvl w:val="6"/>
    </w:pPr>
    <w:rPr>
      <w:rFonts w:asciiTheme="majorHAnsi" w:hAnsiTheme="majorHAnsi" w:eastAsiaTheme="majorEastAsia" w:cstheme="majorBidi"/>
      <w:color w:val="4F81BD" w:themeColor="accent1"/>
      <w:sz w:val="24"/>
      <w:szCs w:val="24"/>
    </w:rPr>
  </w:style>
  <w:style w:type="paragraph" w:styleId="10">
    <w:name w:val="heading 8"/>
    <w:basedOn w:val="1"/>
    <w:next w:val="3"/>
    <w:unhideWhenUsed/>
    <w:qFormat/>
    <w:uiPriority w:val="9"/>
    <w:pPr>
      <w:keepNext/>
      <w:keepLines/>
      <w:spacing w:before="200" w:after="0"/>
      <w:outlineLvl w:val="7"/>
    </w:pPr>
    <w:rPr>
      <w:rFonts w:asciiTheme="majorHAnsi" w:hAnsiTheme="majorHAnsi" w:eastAsiaTheme="majorEastAsia" w:cstheme="majorBidi"/>
      <w:color w:val="4F81BD" w:themeColor="accent1"/>
      <w:sz w:val="24"/>
      <w:szCs w:val="24"/>
    </w:rPr>
  </w:style>
  <w:style w:type="paragraph" w:styleId="11">
    <w:name w:val="heading 9"/>
    <w:basedOn w:val="1"/>
    <w:next w:val="3"/>
    <w:unhideWhenUsed/>
    <w:qFormat/>
    <w:uiPriority w:val="9"/>
    <w:pPr>
      <w:keepNext/>
      <w:keepLines/>
      <w:spacing w:before="200" w:after="0"/>
      <w:outlineLvl w:val="8"/>
    </w:pPr>
    <w:rPr>
      <w:rFonts w:asciiTheme="majorHAnsi" w:hAnsiTheme="majorHAnsi" w:eastAsiaTheme="majorEastAsia" w:cstheme="majorBidi"/>
      <w:color w:val="4F81BD" w:themeColor="accent1"/>
      <w:sz w:val="24"/>
      <w:szCs w:val="24"/>
    </w:rPr>
  </w:style>
  <w:style w:type="character" w:default="1" w:styleId="19">
    <w:name w:val="Default Paragraph Font"/>
    <w:semiHidden/>
    <w:unhideWhenUsed/>
    <w:uiPriority w:val="0"/>
  </w:style>
  <w:style w:type="table" w:default="1" w:styleId="18">
    <w:name w:val="Normal Table"/>
    <w:uiPriority w:val="0"/>
    <w:tblPr>
      <w:tblCellMar>
        <w:top w:w="0" w:type="dxa"/>
        <w:left w:w="108" w:type="dxa"/>
        <w:bottom w:w="0" w:type="dxa"/>
        <w:right w:w="108" w:type="dxa"/>
      </w:tblCellMar>
    </w:tblPr>
  </w:style>
  <w:style w:type="paragraph" w:styleId="3">
    <w:name w:val="Body Text"/>
    <w:basedOn w:val="1"/>
    <w:link w:val="21"/>
    <w:qFormat/>
    <w:uiPriority w:val="0"/>
    <w:pPr>
      <w:spacing w:before="180" w:after="180"/>
    </w:pPr>
  </w:style>
  <w:style w:type="paragraph" w:styleId="12">
    <w:name w:val="caption"/>
    <w:basedOn w:val="1"/>
    <w:next w:val="1"/>
    <w:uiPriority w:val="0"/>
    <w:pPr>
      <w:spacing w:before="0" w:after="120"/>
    </w:pPr>
    <w:rPr>
      <w:i/>
    </w:rPr>
  </w:style>
  <w:style w:type="paragraph" w:styleId="13">
    <w:name w:val="Block Text"/>
    <w:basedOn w:val="3"/>
    <w:next w:val="3"/>
    <w:unhideWhenUsed/>
    <w:qFormat/>
    <w:uiPriority w:val="9"/>
    <w:pPr>
      <w:spacing w:before="100" w:after="100"/>
      <w:ind w:firstLine="0"/>
    </w:pPr>
    <w:rPr>
      <w:rFonts w:asciiTheme="majorHAnsi" w:hAnsiTheme="majorHAnsi" w:eastAsiaTheme="majorEastAsia" w:cstheme="majorBidi"/>
      <w:bCs/>
      <w:sz w:val="20"/>
      <w:szCs w:val="20"/>
    </w:rPr>
  </w:style>
  <w:style w:type="paragraph" w:styleId="14">
    <w:name w:val="Date"/>
    <w:next w:val="3"/>
    <w:qFormat/>
    <w:uiPriority w:val="0"/>
    <w:pPr>
      <w:keepNext/>
      <w:keepLines/>
      <w:spacing w:after="200"/>
      <w:jc w:val="center"/>
    </w:pPr>
    <w:rPr>
      <w:rFonts w:asciiTheme="minorHAnsi" w:hAnsiTheme="minorHAnsi" w:eastAsiaTheme="minorHAnsi" w:cstheme="minorBidi"/>
      <w:sz w:val="24"/>
      <w:szCs w:val="24"/>
      <w:lang w:val="en" w:eastAsia="en-US" w:bidi="ar-SA"/>
    </w:rPr>
  </w:style>
  <w:style w:type="paragraph" w:styleId="15">
    <w:name w:val="Subtitle"/>
    <w:basedOn w:val="16"/>
    <w:next w:val="3"/>
    <w:qFormat/>
    <w:uiPriority w:val="0"/>
    <w:pPr>
      <w:keepNext/>
      <w:keepLines/>
      <w:spacing w:before="240" w:after="240"/>
      <w:jc w:val="center"/>
    </w:pPr>
    <w:rPr>
      <w:sz w:val="30"/>
      <w:szCs w:val="30"/>
    </w:rPr>
  </w:style>
  <w:style w:type="paragraph" w:styleId="16">
    <w:name w:val="Title"/>
    <w:basedOn w:val="1"/>
    <w:next w:val="3"/>
    <w:qFormat/>
    <w:uiPriority w:val="0"/>
    <w:pPr>
      <w:keepNext/>
      <w:keepLines/>
      <w:spacing w:before="480" w:after="240"/>
      <w:jc w:val="center"/>
    </w:pPr>
    <w:rPr>
      <w:rFonts w:asciiTheme="majorHAnsi" w:hAnsiTheme="majorHAnsi" w:eastAsiaTheme="majorEastAsia" w:cstheme="majorBidi"/>
      <w:b/>
      <w:bCs/>
      <w:color w:val="335B8A" w:themeColor="accent1" w:themeShade="B5"/>
      <w:sz w:val="36"/>
      <w:szCs w:val="36"/>
    </w:rPr>
  </w:style>
  <w:style w:type="paragraph" w:styleId="17">
    <w:name w:val="footnote text"/>
    <w:basedOn w:val="1"/>
    <w:unhideWhenUsed/>
    <w:qFormat/>
    <w:uiPriority w:val="9"/>
  </w:style>
  <w:style w:type="character" w:styleId="20">
    <w:name w:val="Hyperlink"/>
    <w:basedOn w:val="21"/>
    <w:uiPriority w:val="0"/>
    <w:rPr>
      <w:color w:val="4F81BD" w:themeColor="accent1"/>
    </w:rPr>
  </w:style>
  <w:style w:type="character" w:customStyle="1" w:styleId="21">
    <w:name w:val="Body Text Char"/>
    <w:basedOn w:val="19"/>
    <w:link w:val="3"/>
    <w:uiPriority w:val="0"/>
  </w:style>
  <w:style w:type="character" w:styleId="22">
    <w:name w:val="footnote reference"/>
    <w:basedOn w:val="21"/>
    <w:uiPriority w:val="0"/>
    <w:rPr>
      <w:vertAlign w:val="superscript"/>
    </w:rPr>
  </w:style>
  <w:style w:type="paragraph" w:customStyle="1" w:styleId="23">
    <w:name w:val="First Paragraph"/>
    <w:basedOn w:val="3"/>
    <w:next w:val="3"/>
    <w:qFormat/>
    <w:uiPriority w:val="0"/>
  </w:style>
  <w:style w:type="paragraph" w:customStyle="1" w:styleId="24">
    <w:name w:val="Compact"/>
    <w:basedOn w:val="3"/>
    <w:qFormat/>
    <w:uiPriority w:val="0"/>
    <w:pPr>
      <w:spacing w:before="36" w:after="36"/>
    </w:pPr>
  </w:style>
  <w:style w:type="paragraph" w:customStyle="1" w:styleId="25">
    <w:name w:val="Author"/>
    <w:next w:val="3"/>
    <w:qFormat/>
    <w:uiPriority w:val="0"/>
    <w:pPr>
      <w:keepNext/>
      <w:keepLines/>
      <w:spacing w:after="200"/>
      <w:jc w:val="center"/>
    </w:pPr>
    <w:rPr>
      <w:rFonts w:asciiTheme="minorHAnsi" w:hAnsiTheme="minorHAnsi" w:eastAsiaTheme="minorHAnsi" w:cstheme="minorBidi"/>
      <w:sz w:val="24"/>
      <w:szCs w:val="24"/>
      <w:lang w:val="en" w:eastAsia="en-US" w:bidi="ar-SA"/>
    </w:rPr>
  </w:style>
  <w:style w:type="paragraph" w:customStyle="1" w:styleId="26">
    <w:name w:val="Abstract"/>
    <w:basedOn w:val="1"/>
    <w:next w:val="3"/>
    <w:qFormat/>
    <w:uiPriority w:val="0"/>
    <w:pPr>
      <w:keepNext/>
      <w:keepLines/>
      <w:spacing w:before="300" w:after="300"/>
    </w:pPr>
    <w:rPr>
      <w:sz w:val="20"/>
      <w:szCs w:val="20"/>
    </w:rPr>
  </w:style>
  <w:style w:type="paragraph" w:customStyle="1" w:styleId="27">
    <w:name w:val="Bibliography"/>
    <w:basedOn w:val="1"/>
    <w:qFormat/>
    <w:uiPriority w:val="0"/>
  </w:style>
  <w:style w:type="table" w:customStyle="1" w:styleId="28">
    <w:name w:val="Table"/>
    <w:semiHidden/>
    <w:unhideWhenUsed/>
    <w:qFormat/>
    <w:uiPriority w:val="0"/>
    <w:tblPr>
      <w:tblCellMar>
        <w:top w:w="0" w:type="dxa"/>
        <w:left w:w="108" w:type="dxa"/>
        <w:bottom w:w="0" w:type="dxa"/>
        <w:right w:w="108" w:type="dxa"/>
      </w:tblCellMar>
    </w:tblPr>
  </w:style>
  <w:style w:type="paragraph" w:customStyle="1" w:styleId="29">
    <w:name w:val="Definition Term"/>
    <w:basedOn w:val="1"/>
    <w:next w:val="30"/>
    <w:uiPriority w:val="0"/>
    <w:pPr>
      <w:keepNext/>
      <w:keepLines/>
      <w:spacing w:after="0"/>
    </w:pPr>
    <w:rPr>
      <w:b/>
    </w:rPr>
  </w:style>
  <w:style w:type="paragraph" w:customStyle="1" w:styleId="30">
    <w:name w:val="Definition"/>
    <w:basedOn w:val="1"/>
    <w:uiPriority w:val="0"/>
  </w:style>
  <w:style w:type="paragraph" w:customStyle="1" w:styleId="31">
    <w:name w:val="Table Caption"/>
    <w:basedOn w:val="12"/>
    <w:uiPriority w:val="0"/>
    <w:pPr>
      <w:keepNext/>
    </w:pPr>
  </w:style>
  <w:style w:type="paragraph" w:customStyle="1" w:styleId="32">
    <w:name w:val="Image Caption"/>
    <w:basedOn w:val="12"/>
    <w:uiPriority w:val="0"/>
  </w:style>
  <w:style w:type="paragraph" w:customStyle="1" w:styleId="33">
    <w:name w:val="Figure"/>
    <w:basedOn w:val="1"/>
    <w:uiPriority w:val="0"/>
  </w:style>
  <w:style w:type="paragraph" w:customStyle="1" w:styleId="34">
    <w:name w:val="Captioned Figure"/>
    <w:basedOn w:val="33"/>
    <w:uiPriority w:val="0"/>
    <w:pPr>
      <w:keepNext/>
    </w:pPr>
  </w:style>
  <w:style w:type="character" w:customStyle="1" w:styleId="35">
    <w:name w:val="Verbatim Char"/>
    <w:basedOn w:val="21"/>
    <w:link w:val="36"/>
    <w:uiPriority w:val="0"/>
    <w:rPr>
      <w:rFonts w:ascii="Consolas" w:hAnsi="Consolas"/>
      <w:sz w:val="22"/>
    </w:rPr>
  </w:style>
  <w:style w:type="paragraph" w:customStyle="1" w:styleId="36">
    <w:name w:val="Source Code"/>
    <w:basedOn w:val="1"/>
    <w:link w:val="35"/>
    <w:uiPriority w:val="0"/>
    <w:pPr>
      <w:wordWrap w:val="0"/>
    </w:pPr>
  </w:style>
  <w:style w:type="paragraph" w:customStyle="1" w:styleId="37">
    <w:name w:val="TOC Heading"/>
    <w:basedOn w:val="2"/>
    <w:next w:val="3"/>
    <w:unhideWhenUsed/>
    <w:qFormat/>
    <w:uiPriority w:val="39"/>
    <w:pPr>
      <w:spacing w:before="240" w:line="259" w:lineRule="auto"/>
      <w:outlineLvl w:val="9"/>
    </w:pPr>
    <w:rPr>
      <w:rFonts w:asciiTheme="majorHAnsi" w:hAnsiTheme="majorHAnsi" w:eastAsiaTheme="majorEastAsia" w:cstheme="majorBidi"/>
      <w:b w:val="0"/>
      <w:bCs w:val="0"/>
      <w:color w:val="366091" w:themeColor="accent1" w:themeShade="BF"/>
    </w:rPr>
  </w:style>
  <w:style w:type="character" w:customStyle="1" w:styleId="38">
    <w:name w:val="KeywordTok"/>
    <w:basedOn w:val="35"/>
    <w:uiPriority w:val="0"/>
    <w:rPr>
      <w:b/>
      <w:color w:val="007020"/>
    </w:rPr>
  </w:style>
  <w:style w:type="character" w:customStyle="1" w:styleId="39">
    <w:name w:val="DataTypeTok"/>
    <w:basedOn w:val="35"/>
    <w:uiPriority w:val="0"/>
    <w:rPr>
      <w:color w:val="902000"/>
    </w:rPr>
  </w:style>
  <w:style w:type="character" w:customStyle="1" w:styleId="40">
    <w:name w:val="DecValTok"/>
    <w:basedOn w:val="35"/>
    <w:uiPriority w:val="0"/>
    <w:rPr>
      <w:color w:val="40A070"/>
    </w:rPr>
  </w:style>
  <w:style w:type="character" w:customStyle="1" w:styleId="41">
    <w:name w:val="BaseNTok"/>
    <w:basedOn w:val="35"/>
    <w:uiPriority w:val="0"/>
    <w:rPr>
      <w:color w:val="40A070"/>
    </w:rPr>
  </w:style>
  <w:style w:type="character" w:customStyle="1" w:styleId="42">
    <w:name w:val="FloatTok"/>
    <w:basedOn w:val="35"/>
    <w:uiPriority w:val="0"/>
    <w:rPr>
      <w:color w:val="40A070"/>
    </w:rPr>
  </w:style>
  <w:style w:type="character" w:customStyle="1" w:styleId="43">
    <w:name w:val="ConstantTok"/>
    <w:basedOn w:val="35"/>
    <w:uiPriority w:val="0"/>
    <w:rPr>
      <w:color w:val="880000"/>
    </w:rPr>
  </w:style>
  <w:style w:type="character" w:customStyle="1" w:styleId="44">
    <w:name w:val="CharTok"/>
    <w:basedOn w:val="35"/>
    <w:uiPriority w:val="0"/>
    <w:rPr>
      <w:color w:val="4070A0"/>
    </w:rPr>
  </w:style>
  <w:style w:type="character" w:customStyle="1" w:styleId="45">
    <w:name w:val="SpecialCharTok"/>
    <w:basedOn w:val="35"/>
    <w:uiPriority w:val="0"/>
    <w:rPr>
      <w:color w:val="4070A0"/>
    </w:rPr>
  </w:style>
  <w:style w:type="character" w:customStyle="1" w:styleId="46">
    <w:name w:val="StringTok"/>
    <w:basedOn w:val="35"/>
    <w:uiPriority w:val="0"/>
    <w:rPr>
      <w:color w:val="4070A0"/>
    </w:rPr>
  </w:style>
  <w:style w:type="character" w:customStyle="1" w:styleId="47">
    <w:name w:val="VerbatimStringTok"/>
    <w:basedOn w:val="35"/>
    <w:uiPriority w:val="0"/>
    <w:rPr>
      <w:color w:val="4070A0"/>
    </w:rPr>
  </w:style>
  <w:style w:type="character" w:customStyle="1" w:styleId="48">
    <w:name w:val="SpecialStringTok"/>
    <w:basedOn w:val="35"/>
    <w:uiPriority w:val="0"/>
    <w:rPr>
      <w:color w:val="BB6688"/>
    </w:rPr>
  </w:style>
  <w:style w:type="character" w:customStyle="1" w:styleId="49">
    <w:name w:val="ImportTok"/>
    <w:basedOn w:val="35"/>
    <w:uiPriority w:val="0"/>
  </w:style>
  <w:style w:type="character" w:customStyle="1" w:styleId="50">
    <w:name w:val="CommentTok"/>
    <w:basedOn w:val="35"/>
    <w:uiPriority w:val="0"/>
    <w:rPr>
      <w:i/>
      <w:color w:val="60A0B0"/>
    </w:rPr>
  </w:style>
  <w:style w:type="character" w:customStyle="1" w:styleId="51">
    <w:name w:val="DocumentationTok"/>
    <w:basedOn w:val="35"/>
    <w:uiPriority w:val="0"/>
    <w:rPr>
      <w:i/>
      <w:color w:val="BA2121"/>
    </w:rPr>
  </w:style>
  <w:style w:type="character" w:customStyle="1" w:styleId="52">
    <w:name w:val="AnnotationTok"/>
    <w:basedOn w:val="35"/>
    <w:uiPriority w:val="0"/>
    <w:rPr>
      <w:b/>
      <w:i/>
      <w:color w:val="60A0B0"/>
    </w:rPr>
  </w:style>
  <w:style w:type="character" w:customStyle="1" w:styleId="53">
    <w:name w:val="CommentVarTok"/>
    <w:basedOn w:val="35"/>
    <w:uiPriority w:val="0"/>
    <w:rPr>
      <w:b/>
      <w:i/>
      <w:color w:val="60A0B0"/>
    </w:rPr>
  </w:style>
  <w:style w:type="character" w:customStyle="1" w:styleId="54">
    <w:name w:val="OtherTok"/>
    <w:basedOn w:val="35"/>
    <w:uiPriority w:val="0"/>
    <w:rPr>
      <w:color w:val="007020"/>
    </w:rPr>
  </w:style>
  <w:style w:type="character" w:customStyle="1" w:styleId="55">
    <w:name w:val="FunctionTok"/>
    <w:basedOn w:val="35"/>
    <w:uiPriority w:val="0"/>
    <w:rPr>
      <w:color w:val="06287E"/>
    </w:rPr>
  </w:style>
  <w:style w:type="character" w:customStyle="1" w:styleId="56">
    <w:name w:val="VariableTok"/>
    <w:basedOn w:val="35"/>
    <w:uiPriority w:val="0"/>
    <w:rPr>
      <w:color w:val="19177C"/>
    </w:rPr>
  </w:style>
  <w:style w:type="character" w:customStyle="1" w:styleId="57">
    <w:name w:val="ControlFlowTok"/>
    <w:basedOn w:val="35"/>
    <w:uiPriority w:val="0"/>
    <w:rPr>
      <w:b/>
      <w:color w:val="007020"/>
    </w:rPr>
  </w:style>
  <w:style w:type="character" w:customStyle="1" w:styleId="58">
    <w:name w:val="OperatorTok"/>
    <w:basedOn w:val="35"/>
    <w:uiPriority w:val="0"/>
    <w:rPr>
      <w:color w:val="666666"/>
    </w:rPr>
  </w:style>
  <w:style w:type="character" w:customStyle="1" w:styleId="59">
    <w:name w:val="BuiltInTok"/>
    <w:basedOn w:val="35"/>
    <w:uiPriority w:val="0"/>
  </w:style>
  <w:style w:type="character" w:customStyle="1" w:styleId="60">
    <w:name w:val="ExtensionTok"/>
    <w:basedOn w:val="35"/>
    <w:uiPriority w:val="0"/>
  </w:style>
  <w:style w:type="character" w:customStyle="1" w:styleId="61">
    <w:name w:val="PreprocessorTok"/>
    <w:basedOn w:val="35"/>
    <w:uiPriority w:val="0"/>
    <w:rPr>
      <w:color w:val="BC7A00"/>
    </w:rPr>
  </w:style>
  <w:style w:type="character" w:customStyle="1" w:styleId="62">
    <w:name w:val="AttributeTok"/>
    <w:basedOn w:val="35"/>
    <w:uiPriority w:val="0"/>
    <w:rPr>
      <w:color w:val="7D9029"/>
    </w:rPr>
  </w:style>
  <w:style w:type="character" w:customStyle="1" w:styleId="63">
    <w:name w:val="RegionMarkerTok"/>
    <w:basedOn w:val="35"/>
    <w:uiPriority w:val="0"/>
  </w:style>
  <w:style w:type="character" w:customStyle="1" w:styleId="64">
    <w:name w:val="InformationTok"/>
    <w:basedOn w:val="35"/>
    <w:uiPriority w:val="0"/>
    <w:rPr>
      <w:b/>
      <w:i/>
      <w:color w:val="60A0B0"/>
    </w:rPr>
  </w:style>
  <w:style w:type="character" w:customStyle="1" w:styleId="65">
    <w:name w:val="WarningTok"/>
    <w:basedOn w:val="35"/>
    <w:uiPriority w:val="0"/>
    <w:rPr>
      <w:b/>
      <w:i/>
      <w:color w:val="60A0B0"/>
    </w:rPr>
  </w:style>
  <w:style w:type="character" w:customStyle="1" w:styleId="66">
    <w:name w:val="AlertTok"/>
    <w:basedOn w:val="35"/>
    <w:uiPriority w:val="0"/>
    <w:rPr>
      <w:b/>
      <w:color w:val="FF0000"/>
    </w:rPr>
  </w:style>
  <w:style w:type="character" w:customStyle="1" w:styleId="67">
    <w:name w:val="ErrorTok"/>
    <w:basedOn w:val="35"/>
    <w:uiPriority w:val="0"/>
    <w:rPr>
      <w:b/>
      <w:color w:val="FF0000"/>
    </w:rPr>
  </w:style>
  <w:style w:type="character" w:customStyle="1" w:styleId="68">
    <w:name w:val="NormalTok"/>
    <w:basedOn w:val="35"/>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83</Words>
  <Characters>475</Characters>
  <Lines>12</Lines>
  <Paragraphs>8</Paragraphs>
  <TotalTime>7</TotalTime>
  <ScaleCrop>false</ScaleCrop>
  <LinksUpToDate>false</LinksUpToDate>
  <CharactersWithSpaces>583</CharactersWithSpaces>
  <Application>WPS Office_11.1.0.10024_F1E327BC-269C-435d-A152-05C5408002CA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2020-11-26T02:56:00Z</dcterms:created>
  <dc:creator>一心报国</dc:creator>
  <dc:description>百度文库</dc:description>
  <cp:lastModifiedBy>一心报国</cp:lastModifiedBy>
  <dcterms:modified xsi:type="dcterms:W3CDTF">2020-11-26T02:57:46Z</dcterms:modified>
  <dc:title>易制爆危险化学品治安管理办法(2019) - 百度文库</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e-mobile-web-app-capable">
    <vt:lpwstr>yes</vt:lpwstr>
  </property>
  <property fmtid="{D5CDD505-2E9C-101B-9397-08002B2CF9AE}" pid="3" name="apple-mobile-web-app-status-bar-style">
    <vt:lpwstr>black</vt:lpwstr>
  </property>
  <property fmtid="{D5CDD505-2E9C-101B-9397-08002B2CF9AE}" pid="4" name="format-detection">
    <vt:lpwstr/>
  </property>
  <property fmtid="{D5CDD505-2E9C-101B-9397-08002B2CF9AE}" pid="5" name="referrer">
    <vt:lpwstr>never</vt:lpwstr>
  </property>
  <property fmtid="{D5CDD505-2E9C-101B-9397-08002B2CF9AE}" pid="6" name="viewport">
    <vt:lpwstr>width=device-width,minimum-scale=1.0,maximum-scale=1.0,user-scalable=no,viewport-fit=cover</vt:lpwstr>
  </property>
  <property fmtid="{D5CDD505-2E9C-101B-9397-08002B2CF9AE}" pid="7" name="KSOProductBuildVer">
    <vt:lpwstr>2052-11.1.0.10024</vt:lpwstr>
  </property>
</Properties>
</file>