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701A3" w14:textId="77777777" w:rsidR="001A17F8" w:rsidRDefault="005043F2" w:rsidP="007776F7">
      <w:pPr>
        <w:spacing w:line="360" w:lineRule="auto"/>
        <w:jc w:val="center"/>
        <w:rPr>
          <w:rFonts w:ascii="仿宋" w:eastAsia="仿宋" w:hAnsi="仿宋" w:cs="仿宋"/>
          <w:b/>
          <w:bCs/>
          <w:sz w:val="30"/>
          <w:szCs w:val="30"/>
          <w:lang w:eastAsia="zh-CN"/>
        </w:rPr>
      </w:pPr>
      <w:r>
        <w:rPr>
          <w:rFonts w:ascii="宋体" w:eastAsia="宋体" w:hAnsi="宋体" w:cs="宋体" w:hint="eastAsia"/>
          <w:b/>
          <w:bCs/>
          <w:sz w:val="36"/>
          <w:szCs w:val="36"/>
          <w:lang w:eastAsia="zh-CN"/>
        </w:rPr>
        <w:t>职业病防治法宣传周活动实施方案</w:t>
      </w:r>
    </w:p>
    <w:p w14:paraId="5CF6D32F"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一、活动主题</w:t>
      </w:r>
    </w:p>
    <w:p w14:paraId="04108D6A" w14:textId="7EF629BA"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w:t>
      </w:r>
      <w:r w:rsidR="001644AB" w:rsidRPr="001644AB">
        <w:rPr>
          <w:rFonts w:ascii="仿宋" w:eastAsia="仿宋" w:hAnsi="仿宋" w:cs="仿宋" w:hint="eastAsia"/>
          <w:sz w:val="30"/>
          <w:szCs w:val="30"/>
          <w:lang w:eastAsia="zh-CN"/>
        </w:rPr>
        <w:t>坚持预防为主，守护职业健康。</w:t>
      </w:r>
      <w:r>
        <w:rPr>
          <w:rFonts w:ascii="仿宋" w:eastAsia="仿宋" w:hAnsi="仿宋" w:cs="仿宋" w:hint="eastAsia"/>
          <w:sz w:val="30"/>
          <w:szCs w:val="30"/>
          <w:lang w:eastAsia="zh-CN"/>
        </w:rPr>
        <w:t>”</w:t>
      </w:r>
    </w:p>
    <w:p w14:paraId="0A0DDF19"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二、活动时间</w:t>
      </w:r>
    </w:p>
    <w:p w14:paraId="51346F6A"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4月25日至5月1日。</w:t>
      </w:r>
    </w:p>
    <w:p w14:paraId="63A30B39"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三、宣传主要内容</w:t>
      </w:r>
    </w:p>
    <w:p w14:paraId="00F2821F"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(一)《职业病防治法》等法律法规和配套规章及标准;</w:t>
      </w:r>
    </w:p>
    <w:p w14:paraId="72768EC3"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(二)职业健康检查、职业健康监护、职业病诊断与鉴定制度;</w:t>
      </w:r>
    </w:p>
    <w:p w14:paraId="494FD530"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(三)用人单位职业卫生基础建设活动的主要内容;</w:t>
      </w:r>
    </w:p>
    <w:p w14:paraId="16B26BA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(四)用人单位职业病防治的法定责任;</w:t>
      </w:r>
    </w:p>
    <w:p w14:paraId="55D9B280"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(五)劳动者依法享有的职业卫生保护权力和义务;</w:t>
      </w:r>
    </w:p>
    <w:p w14:paraId="1BA1AC7F"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(六)职业病患者依法享有的工伤保险权益;</w:t>
      </w:r>
    </w:p>
    <w:p w14:paraId="24634F5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(七)防治常见职业病的科普知识;</w:t>
      </w:r>
    </w:p>
    <w:p w14:paraId="10E88AB7"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(八)解读开展陶瓷生产和耐火材料制造企业粉尘危害专项治理工作方案。</w:t>
      </w:r>
    </w:p>
    <w:p w14:paraId="441E3F7C"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四、宣传对象和形式</w:t>
      </w:r>
    </w:p>
    <w:p w14:paraId="577649F1"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主要面向用人单位负责人和劳动者开展宣传教育。</w:t>
      </w:r>
    </w:p>
    <w:p w14:paraId="6FFF90D8"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lastRenderedPageBreak/>
        <w:t>(一)网站专题宣传。为扩大宣传面，加强职业病防治法宣传效果，利用网络平台，在自治区安监局、卫生计生委以及自治区职防院网站首页宣传《职业病防治法》相关内容。</w:t>
      </w:r>
    </w:p>
    <w:p w14:paraId="3A6496B2"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(二)报刊报道。通过新闻媒体的支持和配合，在相关新闻媒体进行报道宣传《职业病防治法》相关活动内容，营造全社会关爱劳动者的良好氛围。自治区卫生计生委、安监局负责落实。</w:t>
      </w:r>
    </w:p>
    <w:p w14:paraId="3FF5F79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三)现场宣传咨询。深入企业(组织健康体检医护队伍参加)开展职业病防治法的宣传，为企业员工开展义诊、职业健康体检和职业病防治问题咨询等。由自治区卫生计生委委托自治区职防院具体组织落实，自治区安监局派人参与。</w:t>
      </w:r>
    </w:p>
    <w:p w14:paraId="5A2930C7"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(四)悬挂宣传横幅。悬挂宣传横幅，大屏幕滚动播放《职业病防治法》宣传周推荐宣传内容。具体由各级安监、卫生计生部门及职防院(所)、疾控中心、职业健康检查机构、卫生监督所等相关单位落实。</w:t>
      </w:r>
    </w:p>
    <w:p w14:paraId="79412DF6"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(五)群发公益短信。宣传《职业病防治法》以及职业病防治知识。自治区级由自治区卫生计生委委托自治区职防院具体抓落实。市、县(市、区)的由各级卫生计生部门指定。</w:t>
      </w:r>
    </w:p>
    <w:p w14:paraId="548D373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(六)微博微信宣传。在自治区卫生计生委官方微信微博“健康八桂”公众号进行宣传。由自治区卫生计生委落实。</w:t>
      </w:r>
    </w:p>
    <w:p w14:paraId="488D2F8C"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lastRenderedPageBreak/>
        <w:t>(七)巡回宣讲。由自治区安监局具体负责组建宣讲团到全区14个市开展宣讲活动，自治区卫生计生委派出相关专家参与。各市配合抓好相关工作，主要是负责组织不少于100家企业及有关单位人员参加，并落实好会场，做好宣讲现场各项工作，确保宣讲活动顺利开展。各市、县(市、区)结合辖区的实际，也应组织开展宣讲活动。</w:t>
      </w:r>
    </w:p>
    <w:p w14:paraId="6B65E885"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1.宣传教育对象。中、小、微型用人单位负责人和接触职业病危害的劳动者;市辖区内职业健康检查机构负责人;各市、县安监局职业卫生工作分管领导、监管人员。</w:t>
      </w:r>
    </w:p>
    <w:p w14:paraId="3F962E47"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2.时间安排。</w:t>
      </w:r>
    </w:p>
    <w:p w14:paraId="7F7A2C49"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宣讲团各组时间安排表详见附件1。</w:t>
      </w:r>
    </w:p>
    <w:p w14:paraId="0D01EC33"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3.宣讲团组成。由自治区安监局职业健康监督管理处处长梁元超为团长，副处长莫可东为副团长，自治区安监局有关处室负责人、区职业卫生专家为成员的宣教团。具体分为3个小组：</w:t>
      </w:r>
    </w:p>
    <w:p w14:paraId="1DCF27C9"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第一组：联络员</w:t>
      </w:r>
      <w:r w:rsidR="00EC4639">
        <w:rPr>
          <w:rFonts w:ascii="仿宋" w:eastAsia="仿宋" w:hAnsi="仿宋" w:cs="仿宋" w:hint="eastAsia"/>
          <w:sz w:val="30"/>
          <w:szCs w:val="30"/>
          <w:lang w:eastAsia="zh-CN"/>
        </w:rPr>
        <w:t>X</w:t>
      </w:r>
      <w:r w:rsidR="00EC4639">
        <w:rPr>
          <w:rFonts w:ascii="仿宋" w:eastAsia="仿宋" w:hAnsi="仿宋" w:cs="仿宋"/>
          <w:sz w:val="30"/>
          <w:szCs w:val="30"/>
          <w:lang w:eastAsia="zh-CN"/>
        </w:rPr>
        <w:t>X</w:t>
      </w:r>
      <w:r>
        <w:rPr>
          <w:rFonts w:ascii="仿宋" w:eastAsia="仿宋" w:hAnsi="仿宋" w:cs="仿宋" w:hint="eastAsia"/>
          <w:sz w:val="30"/>
          <w:szCs w:val="30"/>
          <w:lang w:eastAsia="zh-CN"/>
        </w:rPr>
        <w:t>，专家</w:t>
      </w:r>
      <w:r w:rsidR="00EC4639">
        <w:rPr>
          <w:rFonts w:ascii="仿宋" w:eastAsia="仿宋" w:hAnsi="仿宋" w:cs="仿宋" w:hint="eastAsia"/>
          <w:sz w:val="30"/>
          <w:szCs w:val="30"/>
          <w:lang w:eastAsia="zh-CN"/>
        </w:rPr>
        <w:t>X</w:t>
      </w:r>
      <w:r w:rsidR="00EC4639">
        <w:rPr>
          <w:rFonts w:ascii="仿宋" w:eastAsia="仿宋" w:hAnsi="仿宋" w:cs="仿宋"/>
          <w:sz w:val="30"/>
          <w:szCs w:val="30"/>
          <w:lang w:eastAsia="zh-CN"/>
        </w:rPr>
        <w:t>X</w:t>
      </w:r>
      <w:r>
        <w:rPr>
          <w:rFonts w:ascii="仿宋" w:eastAsia="仿宋" w:hAnsi="仿宋" w:cs="仿宋" w:hint="eastAsia"/>
          <w:sz w:val="30"/>
          <w:szCs w:val="30"/>
          <w:lang w:eastAsia="zh-CN"/>
        </w:rPr>
        <w:t>;负责组织南宁、河池、百色、崇左市的宣讲。</w:t>
      </w:r>
    </w:p>
    <w:p w14:paraId="2F3619E5"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第二组：联络员</w:t>
      </w:r>
      <w:r w:rsidR="00EC4639">
        <w:rPr>
          <w:rFonts w:ascii="仿宋" w:eastAsia="仿宋" w:hAnsi="仿宋" w:cs="仿宋" w:hint="eastAsia"/>
          <w:sz w:val="30"/>
          <w:szCs w:val="30"/>
          <w:lang w:eastAsia="zh-CN"/>
        </w:rPr>
        <w:t>X</w:t>
      </w:r>
      <w:r w:rsidR="00EC4639">
        <w:rPr>
          <w:rFonts w:ascii="仿宋" w:eastAsia="仿宋" w:hAnsi="仿宋" w:cs="仿宋"/>
          <w:sz w:val="30"/>
          <w:szCs w:val="30"/>
          <w:lang w:eastAsia="zh-CN"/>
        </w:rPr>
        <w:t>X</w:t>
      </w:r>
      <w:r>
        <w:rPr>
          <w:rFonts w:ascii="仿宋" w:eastAsia="仿宋" w:hAnsi="仿宋" w:cs="仿宋" w:hint="eastAsia"/>
          <w:sz w:val="30"/>
          <w:szCs w:val="30"/>
          <w:lang w:eastAsia="zh-CN"/>
        </w:rPr>
        <w:t>，专家</w:t>
      </w:r>
      <w:r w:rsidR="00EC4639">
        <w:rPr>
          <w:rFonts w:ascii="仿宋" w:eastAsia="仿宋" w:hAnsi="仿宋" w:cs="仿宋" w:hint="eastAsia"/>
          <w:sz w:val="30"/>
          <w:szCs w:val="30"/>
          <w:lang w:eastAsia="zh-CN"/>
        </w:rPr>
        <w:t>X</w:t>
      </w:r>
      <w:r w:rsidR="00EC4639">
        <w:rPr>
          <w:rFonts w:ascii="仿宋" w:eastAsia="仿宋" w:hAnsi="仿宋" w:cs="仿宋"/>
          <w:sz w:val="30"/>
          <w:szCs w:val="30"/>
          <w:lang w:eastAsia="zh-CN"/>
        </w:rPr>
        <w:t>X</w:t>
      </w:r>
      <w:r>
        <w:rPr>
          <w:rFonts w:ascii="仿宋" w:eastAsia="仿宋" w:hAnsi="仿宋" w:cs="仿宋" w:hint="eastAsia"/>
          <w:sz w:val="30"/>
          <w:szCs w:val="30"/>
          <w:lang w:eastAsia="zh-CN"/>
        </w:rPr>
        <w:t>;负责组织桂林、柳州、来宾、梧州、贺州市的宣讲。</w:t>
      </w:r>
    </w:p>
    <w:p w14:paraId="498C31CB"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第三组：</w:t>
      </w:r>
      <w:r w:rsidR="00EC4639">
        <w:rPr>
          <w:rFonts w:ascii="仿宋" w:eastAsia="仿宋" w:hAnsi="仿宋" w:cs="仿宋" w:hint="eastAsia"/>
          <w:sz w:val="30"/>
          <w:szCs w:val="30"/>
          <w:lang w:eastAsia="zh-CN"/>
        </w:rPr>
        <w:t>联络员X</w:t>
      </w:r>
      <w:r w:rsidR="00EC4639">
        <w:rPr>
          <w:rFonts w:ascii="仿宋" w:eastAsia="仿宋" w:hAnsi="仿宋" w:cs="仿宋"/>
          <w:sz w:val="30"/>
          <w:szCs w:val="30"/>
          <w:lang w:eastAsia="zh-CN"/>
        </w:rPr>
        <w:t>X</w:t>
      </w:r>
      <w:r w:rsidR="00EC4639">
        <w:rPr>
          <w:rFonts w:ascii="仿宋" w:eastAsia="仿宋" w:hAnsi="仿宋" w:cs="仿宋" w:hint="eastAsia"/>
          <w:sz w:val="30"/>
          <w:szCs w:val="30"/>
          <w:lang w:eastAsia="zh-CN"/>
        </w:rPr>
        <w:t>，专家X</w:t>
      </w:r>
      <w:r w:rsidR="00EC4639">
        <w:rPr>
          <w:rFonts w:ascii="仿宋" w:eastAsia="仿宋" w:hAnsi="仿宋" w:cs="仿宋"/>
          <w:sz w:val="30"/>
          <w:szCs w:val="30"/>
          <w:lang w:eastAsia="zh-CN"/>
        </w:rPr>
        <w:t>X</w:t>
      </w:r>
      <w:r>
        <w:rPr>
          <w:rFonts w:ascii="仿宋" w:eastAsia="仿宋" w:hAnsi="仿宋" w:cs="仿宋" w:hint="eastAsia"/>
          <w:sz w:val="30"/>
          <w:szCs w:val="30"/>
          <w:lang w:eastAsia="zh-CN"/>
        </w:rPr>
        <w:t>;负责组织钦州、防城港、北海、玉林、贵港市的宣讲。</w:t>
      </w:r>
    </w:p>
    <w:p w14:paraId="225F1D27"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lastRenderedPageBreak/>
        <w:t>五、活动要求</w:t>
      </w:r>
    </w:p>
    <w:p w14:paraId="35EE23E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一)加强领导，精心组织。各市、县(市、区)安全监管局、卫生计生委(局)要高度重视《职业病防治法》宣传周活动，把宣传活动作为预防、控制和消除职业病危害、保护劳动者健康的具体实践，加强领导、认真组织;要结合实际，围绕宣传主题、宣传重点，制定宣传周实施方案，确保宣传活动顺利开展、取得实效;要对《职业病防治法》宣传周活动工作全面负责，落实宣传经费，保证活动所必需的人力、物力和财力到位。</w:t>
      </w:r>
    </w:p>
    <w:p w14:paraId="0BE5353C"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二)广泛发动，形成合力。各地要积极争取新闻媒体的支持和配合，充分发挥主流媒体和新媒体的作用，利用公益性媒体平台，广泛宣传和使用推荐宣传用语(见附件2);注重互动式宣传与参与式宣传相结合，形成全方位、多角度的立体宣传格局，营造全社会共同关注职业病防治的良好氛围。要积极争取社保、工会等方面的参与、支持与配合，发动一切可以发动的力量，形成强大有效的宣传合力。</w:t>
      </w:r>
    </w:p>
    <w:p w14:paraId="7337F51E"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三)突出重点，注重实效。各地要围绕宣传主题，针对本地重点职业病危害、重点人群和重点行业，深入企业、车站、市场等流动人口密集区和开发区、工业区等企业密集地开展宣传活动。宣传形式包括召开研讨会、主题报告会、员工座谈会、知识讲座，举办知识竞赛、职业健康教育资料创作竞赛、专题培训，开展新闻报道、现场咨询、专家在线访谈，印发职业健康教育资料、张</w:t>
      </w:r>
      <w:r>
        <w:rPr>
          <w:rFonts w:ascii="仿宋" w:eastAsia="仿宋" w:hAnsi="仿宋" w:cs="仿宋" w:hint="eastAsia"/>
          <w:sz w:val="30"/>
          <w:szCs w:val="30"/>
          <w:lang w:eastAsia="zh-CN"/>
        </w:rPr>
        <w:lastRenderedPageBreak/>
        <w:t>贴宣传公益广告、探望职业病人等。要充分利用新媒体，如网站、公益短信、微博以及微信等进行专题宣传。同时，各地要将宣传周活动与自治区安监局将要开展的用人单位职业卫生基本情况摸底调查、用人单位职业卫生基础建设、职业病危害项目申报和职业病危害防治评估等工作紧密结合起来，推动做好职业病防治工作。</w:t>
      </w:r>
    </w:p>
    <w:p w14:paraId="44C37430" w14:textId="77777777" w:rsidR="001A17F8" w:rsidRDefault="005043F2">
      <w:pPr>
        <w:spacing w:line="360" w:lineRule="auto"/>
        <w:rPr>
          <w:rFonts w:ascii="仿宋" w:eastAsia="仿宋" w:hAnsi="仿宋" w:cs="仿宋"/>
          <w:sz w:val="30"/>
          <w:szCs w:val="30"/>
          <w:lang w:eastAsia="zh-CN"/>
        </w:rPr>
      </w:pPr>
      <w:r>
        <w:rPr>
          <w:rFonts w:ascii="仿宋" w:eastAsia="仿宋" w:hAnsi="仿宋" w:cs="仿宋" w:hint="eastAsia"/>
          <w:sz w:val="30"/>
          <w:szCs w:val="30"/>
          <w:lang w:eastAsia="zh-CN"/>
        </w:rPr>
        <w:t>(四)认真总结，积累经验。活动结束后，各地要对活动开展情况认真进行总结，及时整理先进经验、典型做法，分析存在问题。由各市安监局、卫生计生委汇总后并于5月15日前将活动总结及统计表(见附件3)的电子版和纸质版(加盖单位公章的原件)分别报送自治区安监局职安处、自治区卫生计生委疾控处。</w:t>
      </w:r>
      <w:r>
        <w:rPr>
          <w:rFonts w:ascii="仿宋" w:eastAsia="仿宋" w:hAnsi="仿宋" w:cs="仿宋" w:hint="eastAsia"/>
          <w:sz w:val="30"/>
          <w:szCs w:val="30"/>
          <w:lang w:eastAsia="zh-CN"/>
        </w:rPr>
        <w:br/>
      </w:r>
      <w:r>
        <w:rPr>
          <w:rFonts w:ascii="仿宋" w:eastAsia="仿宋" w:hAnsi="仿宋" w:cs="仿宋" w:hint="eastAsia"/>
          <w:sz w:val="30"/>
          <w:szCs w:val="30"/>
          <w:lang w:eastAsia="zh-CN"/>
        </w:rPr>
        <w:br/>
      </w:r>
    </w:p>
    <w:p w14:paraId="194D2BAF" w14:textId="2C39A472" w:rsidR="001A17F8" w:rsidRDefault="001A17F8">
      <w:pPr>
        <w:spacing w:line="360" w:lineRule="auto"/>
        <w:rPr>
          <w:rFonts w:ascii="仿宋" w:eastAsia="仿宋" w:hAnsi="仿宋" w:cs="仿宋"/>
          <w:sz w:val="30"/>
          <w:szCs w:val="30"/>
          <w:lang w:eastAsia="zh-CN"/>
        </w:rPr>
      </w:pPr>
    </w:p>
    <w:sectPr w:rsidR="001A17F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9D6EE" w14:textId="77777777" w:rsidR="00A66914" w:rsidRDefault="00A66914">
      <w:pPr>
        <w:spacing w:after="0"/>
      </w:pPr>
      <w:r>
        <w:separator/>
      </w:r>
    </w:p>
  </w:endnote>
  <w:endnote w:type="continuationSeparator" w:id="0">
    <w:p w14:paraId="304A1469" w14:textId="77777777" w:rsidR="00A66914" w:rsidRDefault="00A669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A9B61" w14:textId="77777777" w:rsidR="00A66914" w:rsidRDefault="00A66914">
      <w:pPr>
        <w:spacing w:after="0"/>
      </w:pPr>
      <w:r>
        <w:separator/>
      </w:r>
    </w:p>
  </w:footnote>
  <w:footnote w:type="continuationSeparator" w:id="0">
    <w:p w14:paraId="667892E7" w14:textId="77777777" w:rsidR="00A66914" w:rsidRDefault="00A6691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drawingGridHorizontalSpacing w:val="360"/>
  <w:drawingGridVerticalSpacing w:val="36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D07"/>
    <w:rsid w:val="00011C8B"/>
    <w:rsid w:val="001644AB"/>
    <w:rsid w:val="001A17F8"/>
    <w:rsid w:val="002C3756"/>
    <w:rsid w:val="004E29B3"/>
    <w:rsid w:val="005043F2"/>
    <w:rsid w:val="00590D07"/>
    <w:rsid w:val="007679BD"/>
    <w:rsid w:val="007776F7"/>
    <w:rsid w:val="00784D58"/>
    <w:rsid w:val="007C74AD"/>
    <w:rsid w:val="008D6863"/>
    <w:rsid w:val="00A66914"/>
    <w:rsid w:val="00B86B75"/>
    <w:rsid w:val="00B961E7"/>
    <w:rsid w:val="00BC48D5"/>
    <w:rsid w:val="00C36279"/>
    <w:rsid w:val="00DE5047"/>
    <w:rsid w:val="00E315A3"/>
    <w:rsid w:val="00EC4639"/>
    <w:rsid w:val="2D1A4583"/>
    <w:rsid w:val="729C2206"/>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FDB6A"/>
  <w15:docId w15:val="{19F47A6C-644E-4C9A-93D2-946A9589B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Title" w:qFormat="1"/>
    <w:lsdException w:name="Default Paragraph Font" w:semiHidden="1" w:unhideWhenUsed="1"/>
    <w:lsdException w:name="Body Text" w:qFormat="1"/>
    <w:lsdException w:name="Subtitle" w:qFormat="1"/>
    <w:lsdException w:name="Date" w:qFormat="1"/>
    <w:lsdException w:name="Block Text" w:uiPriority="9" w:unhideWhenUsed="1"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rPr>
      <w:rFonts w:asciiTheme="minorHAnsi" w:eastAsiaTheme="minorHAnsi" w:hAnsiTheme="minorHAnsi" w:cstheme="minorBidi"/>
      <w:sz w:val="24"/>
      <w:szCs w:val="24"/>
      <w:lang w:val="en" w:eastAsia="en-US"/>
    </w:r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spacing w:before="180" w:after="180"/>
    </w:pPr>
  </w:style>
  <w:style w:type="paragraph" w:styleId="a5">
    <w:name w:val="caption"/>
    <w:basedOn w:val="a"/>
    <w:next w:val="a"/>
    <w:pPr>
      <w:spacing w:after="120"/>
    </w:pPr>
    <w:rPr>
      <w:i/>
    </w:rPr>
  </w:style>
  <w:style w:type="paragraph" w:styleId="a6">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7">
    <w:name w:val="Date"/>
    <w:next w:val="a0"/>
    <w:qFormat/>
    <w:pPr>
      <w:keepNext/>
      <w:keepLines/>
      <w:spacing w:after="200"/>
      <w:jc w:val="center"/>
    </w:pPr>
    <w:rPr>
      <w:rFonts w:asciiTheme="minorHAnsi" w:eastAsiaTheme="minorHAnsi" w:hAnsiTheme="minorHAnsi" w:cstheme="minorBidi"/>
      <w:sz w:val="24"/>
      <w:szCs w:val="24"/>
      <w:lang w:val="en" w:eastAsia="en-US"/>
    </w:rPr>
  </w:style>
  <w:style w:type="paragraph" w:styleId="a8">
    <w:name w:val="Subtitle"/>
    <w:basedOn w:val="a9"/>
    <w:next w:val="a0"/>
    <w:qFormat/>
    <w:pPr>
      <w:spacing w:before="240"/>
    </w:pPr>
    <w:rPr>
      <w:sz w:val="30"/>
      <w:szCs w:val="30"/>
    </w:rPr>
  </w:style>
  <w:style w:type="paragraph" w:styleId="a9">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a">
    <w:name w:val="footnote text"/>
    <w:basedOn w:val="a"/>
    <w:uiPriority w:val="9"/>
    <w:unhideWhenUsed/>
    <w:qFormat/>
  </w:style>
  <w:style w:type="character" w:styleId="ab">
    <w:name w:val="Emphasis"/>
    <w:basedOn w:val="a1"/>
    <w:rPr>
      <w:i/>
    </w:rPr>
  </w:style>
  <w:style w:type="character" w:styleId="ac">
    <w:name w:val="Hyperlink"/>
    <w:basedOn w:val="a4"/>
    <w:rPr>
      <w:color w:val="4F81BD" w:themeColor="accent1"/>
    </w:rPr>
  </w:style>
  <w:style w:type="character" w:customStyle="1" w:styleId="a4">
    <w:name w:val="正文文本 字符"/>
    <w:basedOn w:val="a1"/>
    <w:link w:val="a0"/>
  </w:style>
  <w:style w:type="character" w:styleId="ad">
    <w:name w:val="footnote reference"/>
    <w:basedOn w:val="a4"/>
    <w:rPr>
      <w:vertAlign w:val="superscript"/>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customStyle="1" w:styleId="Author">
    <w:name w:val="Author"/>
    <w:next w:val="a0"/>
    <w:qFormat/>
    <w:pPr>
      <w:keepNext/>
      <w:keepLines/>
      <w:spacing w:after="200"/>
      <w:jc w:val="center"/>
    </w:pPr>
    <w:rPr>
      <w:rFonts w:asciiTheme="minorHAnsi" w:eastAsiaTheme="minorHAnsi" w:hAnsiTheme="minorHAnsi" w:cstheme="minorBidi"/>
      <w:sz w:val="24"/>
      <w:szCs w:val="24"/>
      <w:lang w:val="en" w:eastAsia="en-US"/>
    </w:rPr>
  </w:style>
  <w:style w:type="paragraph" w:customStyle="1" w:styleId="Abstract">
    <w:name w:val="Abstract"/>
    <w:basedOn w:val="a"/>
    <w:next w:val="a0"/>
    <w:qFormat/>
    <w:pPr>
      <w:keepNext/>
      <w:keepLines/>
      <w:spacing w:before="300" w:after="300"/>
    </w:pPr>
    <w:rPr>
      <w:sz w:val="20"/>
      <w:szCs w:val="20"/>
    </w:rPr>
  </w:style>
  <w:style w:type="paragraph" w:customStyle="1" w:styleId="10">
    <w:name w:val="书目1"/>
    <w:basedOn w:val="a"/>
    <w:qFormat/>
  </w:style>
  <w:style w:type="table" w:customStyle="1" w:styleId="Table">
    <w:name w:val="Table"/>
    <w:semiHidden/>
    <w:unhideWhenUsed/>
    <w:qFormat/>
    <w:tblPr>
      <w:tblCellMar>
        <w:top w:w="0" w:type="dxa"/>
        <w:left w:w="108" w:type="dxa"/>
        <w:bottom w:w="0" w:type="dxa"/>
        <w:right w:w="108" w:type="dxa"/>
      </w:tblCellMar>
    </w:tbl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qFormat/>
  </w:style>
  <w:style w:type="paragraph" w:customStyle="1" w:styleId="TableCaption">
    <w:name w:val="Table Caption"/>
    <w:basedOn w:val="a5"/>
    <w:pPr>
      <w:keepNext/>
    </w:pPr>
  </w:style>
  <w:style w:type="paragraph" w:customStyle="1" w:styleId="ImageCaption">
    <w:name w:val="Image Caption"/>
    <w:basedOn w:val="a5"/>
  </w:style>
  <w:style w:type="paragraph" w:customStyle="1" w:styleId="Figure">
    <w:name w:val="Figure"/>
    <w:basedOn w:val="a"/>
  </w:style>
  <w:style w:type="paragraph" w:customStyle="1" w:styleId="CaptionedFigure">
    <w:name w:val="Captioned Figure"/>
    <w:basedOn w:val="Figure"/>
    <w:qFormat/>
    <w:pPr>
      <w:keepNext/>
    </w:pPr>
  </w:style>
  <w:style w:type="character" w:customStyle="1" w:styleId="VerbatimChar">
    <w:name w:val="Verbatim Char"/>
    <w:basedOn w:val="a4"/>
    <w:link w:val="SourceCode"/>
    <w:rPr>
      <w:rFonts w:ascii="Consolas" w:hAnsi="Consolas"/>
      <w:sz w:val="22"/>
    </w:rPr>
  </w:style>
  <w:style w:type="paragraph" w:customStyle="1" w:styleId="SourceCode">
    <w:name w:val="Source Code"/>
    <w:basedOn w:val="a"/>
    <w:link w:val="VerbatimChar"/>
    <w:pPr>
      <w:wordWrap w:val="0"/>
    </w:pPr>
  </w:style>
  <w:style w:type="paragraph" w:customStyle="1" w:styleId="TOC1">
    <w:name w:val="TOC 标题1"/>
    <w:basedOn w:val="1"/>
    <w:next w:val="a0"/>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e">
    <w:name w:val="header"/>
    <w:basedOn w:val="a"/>
    <w:link w:val="af"/>
    <w:rsid w:val="00EC4639"/>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1"/>
    <w:link w:val="ae"/>
    <w:rsid w:val="00EC4639"/>
    <w:rPr>
      <w:rFonts w:asciiTheme="minorHAnsi" w:eastAsiaTheme="minorHAnsi" w:hAnsiTheme="minorHAnsi" w:cstheme="minorBidi"/>
      <w:sz w:val="18"/>
      <w:szCs w:val="18"/>
      <w:lang w:val="en" w:eastAsia="en-US"/>
    </w:rPr>
  </w:style>
  <w:style w:type="paragraph" w:styleId="af0">
    <w:name w:val="footer"/>
    <w:basedOn w:val="a"/>
    <w:link w:val="af1"/>
    <w:rsid w:val="00EC4639"/>
    <w:pPr>
      <w:tabs>
        <w:tab w:val="center" w:pos="4153"/>
        <w:tab w:val="right" w:pos="8306"/>
      </w:tabs>
      <w:snapToGrid w:val="0"/>
    </w:pPr>
    <w:rPr>
      <w:sz w:val="18"/>
      <w:szCs w:val="18"/>
    </w:rPr>
  </w:style>
  <w:style w:type="character" w:customStyle="1" w:styleId="af1">
    <w:name w:val="页脚 字符"/>
    <w:basedOn w:val="a1"/>
    <w:link w:val="af0"/>
    <w:rsid w:val="00EC4639"/>
    <w:rPr>
      <w:rFonts w:asciiTheme="minorHAnsi" w:eastAsiaTheme="minorHAnsi" w:hAnsiTheme="minorHAnsi" w:cstheme="minorBidi"/>
      <w:sz w:val="18"/>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582373954@qq.com</cp:lastModifiedBy>
  <cp:revision>4</cp:revision>
  <dcterms:created xsi:type="dcterms:W3CDTF">2021-04-16T08:34:00Z</dcterms:created>
  <dcterms:modified xsi:type="dcterms:W3CDTF">2024-04-26T02:51:00Z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2052-11.1.0.10463</vt:lpwstr>
  </property>
  <property fmtid="{D5CDD505-2E9C-101B-9397-08002B2CF9AE}" pid="8" name="ICV">
    <vt:lpwstr>2F8D0684D5DB47BB9A3F13FFE3161E80</vt:lpwstr>
  </property>
</Properties>
</file>