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FF7" w:rsidRPr="00B73FF7" w:rsidRDefault="00B73FF7" w:rsidP="00B73FF7">
      <w:pPr>
        <w:shd w:val="clear" w:color="auto" w:fill="FFFFFF"/>
        <w:adjustRightInd/>
        <w:snapToGrid/>
        <w:spacing w:before="525" w:afterLines="100" w:line="560" w:lineRule="exact"/>
        <w:jc w:val="center"/>
        <w:rPr>
          <w:rFonts w:ascii="宋体" w:eastAsia="宋体" w:hAnsi="宋体" w:cs="宋体"/>
          <w:color w:val="333333"/>
          <w:sz w:val="27"/>
          <w:szCs w:val="27"/>
        </w:rPr>
      </w:pPr>
      <w:r w:rsidRPr="00B73FF7">
        <w:rPr>
          <w:rFonts w:asciiTheme="minorEastAsia" w:eastAsiaTheme="minorEastAsia" w:hAnsiTheme="minorEastAsia" w:cs="宋体" w:hint="eastAsia"/>
          <w:b/>
          <w:color w:val="333333"/>
          <w:sz w:val="40"/>
          <w:szCs w:val="40"/>
        </w:rPr>
        <w:t>中华人民共和国应急管理部令</w:t>
      </w:r>
    </w:p>
    <w:p w:rsidR="00B73FF7" w:rsidRPr="00B73FF7" w:rsidRDefault="00B73FF7" w:rsidP="00B73FF7">
      <w:pPr>
        <w:shd w:val="clear" w:color="auto" w:fill="FFFFFF"/>
        <w:adjustRightInd/>
        <w:snapToGrid/>
        <w:spacing w:before="525" w:afterLines="100" w:line="560" w:lineRule="exact"/>
        <w:jc w:val="center"/>
        <w:rPr>
          <w:rFonts w:ascii="宋体" w:eastAsia="宋体" w:hAnsi="宋体" w:cs="宋体" w:hint="eastAsia"/>
          <w:color w:val="333333"/>
          <w:sz w:val="27"/>
          <w:szCs w:val="27"/>
        </w:rPr>
      </w:pPr>
      <w:r w:rsidRPr="00B73FF7">
        <w:rPr>
          <w:rFonts w:ascii="楷体" w:eastAsia="楷体" w:hAnsi="楷体" w:cs="宋体" w:hint="eastAsia"/>
          <w:color w:val="333333"/>
          <w:sz w:val="32"/>
          <w:szCs w:val="32"/>
        </w:rPr>
        <w:t>第4号</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 xml:space="preserve">《煤矿重大事故隐患判定标准》已经2020年11月2日应急管理部第31次部务会议审议通过，现予公布，自2021年1月1日起施行。  </w:t>
      </w:r>
    </w:p>
    <w:p w:rsidR="00B73FF7" w:rsidRPr="00B73FF7" w:rsidRDefault="00B73FF7" w:rsidP="00B73FF7">
      <w:pPr>
        <w:shd w:val="clear" w:color="auto" w:fill="FFFFFF"/>
        <w:adjustRightInd/>
        <w:snapToGrid/>
        <w:spacing w:before="525" w:afterLines="100" w:line="560" w:lineRule="exact"/>
        <w:jc w:val="right"/>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 xml:space="preserve">部长 </w:t>
      </w:r>
      <w:r w:rsidRPr="00B73FF7">
        <w:rPr>
          <w:rFonts w:asciiTheme="minorEastAsia" w:eastAsia="宋体" w:hAnsi="宋体" w:cs="宋体" w:hint="eastAsia"/>
          <w:color w:val="333333"/>
          <w:sz w:val="32"/>
          <w:szCs w:val="32"/>
        </w:rPr>
        <w:t> </w:t>
      </w:r>
      <w:r w:rsidRPr="00B73FF7">
        <w:rPr>
          <w:rFonts w:asciiTheme="minorEastAsia" w:eastAsiaTheme="minorEastAsia" w:hAnsiTheme="minorEastAsia" w:cs="宋体" w:hint="eastAsia"/>
          <w:color w:val="333333"/>
          <w:sz w:val="32"/>
          <w:szCs w:val="32"/>
        </w:rPr>
        <w:t xml:space="preserve">王玉普 </w:t>
      </w:r>
    </w:p>
    <w:p w:rsidR="00B73FF7" w:rsidRPr="00B73FF7" w:rsidRDefault="00B73FF7" w:rsidP="00B73FF7">
      <w:pPr>
        <w:shd w:val="clear" w:color="auto" w:fill="FFFFFF"/>
        <w:adjustRightInd/>
        <w:snapToGrid/>
        <w:spacing w:before="525" w:afterLines="100" w:line="560" w:lineRule="exact"/>
        <w:jc w:val="right"/>
        <w:rPr>
          <w:rFonts w:ascii="宋体" w:eastAsia="宋体" w:hAnsi="宋体" w:cs="宋体" w:hint="eastAsia"/>
          <w:color w:val="333333"/>
          <w:sz w:val="27"/>
          <w:szCs w:val="27"/>
        </w:rPr>
      </w:pPr>
      <w:r w:rsidRPr="00B73FF7">
        <w:rPr>
          <w:rFonts w:asciiTheme="minorEastAsia" w:eastAsia="宋体" w:hAnsi="宋体" w:cs="宋体" w:hint="eastAsia"/>
          <w:color w:val="333333"/>
          <w:sz w:val="32"/>
          <w:szCs w:val="32"/>
        </w:rPr>
        <w:t> </w:t>
      </w:r>
      <w:r w:rsidRPr="00B73FF7">
        <w:rPr>
          <w:rFonts w:asciiTheme="minorEastAsia" w:eastAsiaTheme="minorEastAsia" w:hAnsiTheme="minorEastAsia" w:cs="宋体" w:hint="eastAsia"/>
          <w:color w:val="333333"/>
          <w:sz w:val="32"/>
          <w:szCs w:val="32"/>
        </w:rPr>
        <w:t xml:space="preserve">2020年11月20日 </w:t>
      </w:r>
    </w:p>
    <w:p w:rsidR="00B73FF7" w:rsidRPr="00B73FF7" w:rsidRDefault="00B73FF7" w:rsidP="00B73FF7">
      <w:pPr>
        <w:shd w:val="clear" w:color="auto" w:fill="FFFFFF"/>
        <w:adjustRightInd/>
        <w:snapToGrid/>
        <w:spacing w:before="525" w:afterLines="100" w:line="560" w:lineRule="exact"/>
        <w:jc w:val="center"/>
        <w:rPr>
          <w:rFonts w:ascii="宋体" w:eastAsia="宋体" w:hAnsi="宋体" w:cs="宋体" w:hint="eastAsia"/>
          <w:color w:val="333333"/>
          <w:sz w:val="27"/>
          <w:szCs w:val="27"/>
        </w:rPr>
      </w:pPr>
      <w:r w:rsidRPr="00B73FF7">
        <w:rPr>
          <w:rFonts w:asciiTheme="minorEastAsia" w:eastAsiaTheme="minorEastAsia" w:hAnsiTheme="minorEastAsia" w:cs="宋体" w:hint="eastAsia"/>
          <w:b/>
          <w:color w:val="333333"/>
          <w:sz w:val="40"/>
          <w:szCs w:val="40"/>
        </w:rPr>
        <w:t>煤矿重大事故隐患判定标准</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第一条  为了准确认定、及时消除煤矿重大事故隐患，根据《中华人民共和国安全生产法》和《国务院关于预防煤矿生产安全事故的特别规定》（国务院令第446号）等法律、行政法规，制定本标准。</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第二条  本标准适用于判定各类煤矿重大事故隐患。</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第三条  煤矿重大事故隐患包括下列15个方面：</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（一）超能力、超强度或者超定员组织生产；</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（二）瓦斯超限作业；</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（三）煤与瓦斯突出矿井，未依照规定实施防突出措施；</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（四）高瓦斯矿井未建立瓦斯抽采系统和监控系统，或者系统不能正常运行；</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（五）通风系统不完善、不可靠；</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（六）有严重水患，未采取有效措施；</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（七）超层越界开采；</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（八）有冲击地压危险，未采取有效措施；</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（九）自然发火严重，未采取有效措施；</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（十）使用明令禁止使用或者淘汰的设备、工艺；</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（十一）煤矿没有双回路供电系统；</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（十二）新建煤矿边建设边生产，煤矿改扩建期间，在改扩建的区域生产，或者在其他区域的生产超出安全设施设计规定的范围和规模；</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（十三）煤矿实行整体承包生产经营后，未重新取得或者及时变更安全生产许可证而从事生产，或者承包方再次转包，以及将井下采掘工作面和井巷维修作业进行劳务承包；</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（十四）煤矿改制期间，未明确安全生产责任人和安全管理机构，或者在完成改制后，未重新取得或者变更采矿许可证、安全生产许可证和营业执照；</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（十五）其他重大事故隐患。</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第四条  “超能力、超强度或者超定员组织生产”重大事故隐患，是指有下列情形之一的：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（一）煤矿全年原煤产量超过核定（设计）生产能力幅度在10%以上，或者月原煤产量大于核定（设计）生产能力的10%的；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（二）煤矿或其上级公司超过煤矿核定（设计）生产能力下达生产计划或者经营指标的；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（三）煤矿开拓、准备、回采煤量可采期小于国家规定的最短时间，未主动采取限产或者停产措施，仍然组织生产的（衰老煤矿和地方人民政府计划停产关闭煤矿除外）；</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（四） 煤矿井下同时生产的水平超过2个，或者一个采（盘）区内同时作业的采煤、煤（半煤岩）巷掘进工作面个数超过《煤矿安全规程》规定的；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（五）瓦斯抽采不达标组织生产的；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（六）煤矿未制定或者未严格执行井下劳动定员制度，或者采掘作业地点单班作业人数超过国家有关限员规定20%以上的。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第五条  “瓦斯超限作业”重大事故隐患，是指有下列情形之一的：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（一）瓦斯检查存在漏检、假检情况且进行作业的；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（二）井下瓦斯超限后继续作业或者未按照国家规定处置继续进行作业的；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（三）井下排放积聚瓦斯未按照国家规定制定并实施安全技术措施进行作业的。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第六条  “煤与瓦斯突出矿井，未依照规定实施防突出措施”重大事故隐患，是指有下列情形之一的：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（一）未设立防突机构并配备相应专业人员的；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（二）未建立地面永久瓦斯抽采系统或者系统不能正常运行的；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（三）未按照国家规定进行区域或者工作面突出危险性预测的（直接认定为突出危险区域或者突出危险工作面的除外）；</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（四）未按照国家规定采取防治突出措施的；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（五）未按照国家规定进行防突措施效果检验和验证，或者防突措施效果检验和验证不达标仍然组织生产建设，或者防突措施效果检验和验证数据造假的；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（六）未按照国家规定采取安全防护措施的；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（七）使用架线式电机车的。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第七条  “高瓦斯矿井未建立瓦斯抽采系统和监控系统，或者系统不能正常运行”重大事故隐患，是指有下列情形之一的：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（一）按照《煤矿安全规程》规定应当建立而未建立瓦斯抽采系统或者系统不正常使用的；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（二）未按照国家规定安设、调校甲烷传感器，人为造成甲烷传感器失效，或者瓦斯超限后不能报警、断电或者断电范围不符合国家规定的。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第八条  “通风系统不完善、不可靠”重大事故隐患，是指有下列情形之一的：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（一）矿井总风量不足或者采掘工作面等主要用风地点风量不足的；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（二）没有备用主要通风机，或者两台主要通风机不具有同等能力的；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（三）违反《煤矿安全规程》规定采用串联通风的；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（四）未按照设计形成通风系统，或者生产水平和采（盘）区未实现分区通风的；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（五）高瓦斯、煤与瓦斯突出矿井的任一采（盘）区，开采容易自燃煤层、低瓦斯矿井开采煤层群和分层开采采用联合布置的采（盘）区，未设置专用回风巷，或者突出煤层工作面没有独立的回风系统的；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（六）进、回风井之间和主要进、回风巷之间联络巷中的风墙、风门不符合《煤矿安全规程》规定，造成风流短路的；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（七）采区进、回风巷未贯穿整个采区，或者虽贯穿整个采区但一段进风、一段回风，或者采用倾斜长壁布置，大巷未超前至少2个区段构成通风系统即开掘其他巷道的；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（八）煤巷、半煤岩巷和有瓦斯涌出的岩巷掘进未按照国家规定装备甲烷电、风电闭锁装置或者有关装置不能正常使用的；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（九）高瓦斯、煤（岩）与瓦斯（二氧化碳）突出矿井的煤巷、半煤岩巷和有瓦斯涌出的岩巷掘进工作面采用局部通风时，不能实现双风机、双电源且自动切换的；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（十）高瓦斯、煤（岩）与瓦斯（二氧化碳）突出建设矿井进入二期工程前，其他建设矿井进入三期工程前，没有形成地面主要通风机供风的全风压通风系统的。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第九条  “有严重水患，未采取有效措施”重大事故隐患，是指有下列情形之一的：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（一）未查明矿井水文地质条件和井田范围内采空区、废弃老窑积水等情况而组织生产建设的；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（二）水文地质类型复杂、极复杂的矿井未设置专门的防治水机构、未配备专门的探放水作业队伍，或者未配齐专用探放水设备的；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（三）在需要探放水的区域进行采掘作业未按照国家规定进行探放水的；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（四）未按照国家规定留设或者擅自开采（破坏）各种防隔水煤（岩）柱的；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（五）有突（透、溃）水征兆未撤出井下所有受水患威胁地点人员的；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（六）受地表水倒灌威胁的矿井在强降雨天气或其来水上游发生洪水期间未实施停产撤人的；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（七）建设矿井进入三期工程前，未按照设计建成永久排水系统，或者生产矿井延深到设计水平时，未建成防、排水系统而违规开拓掘进的；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（八）矿井主要排水系统水泵排水能力、管路和水仓容量不符合《煤矿安全规程》规定的；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（九）开采地表水体、老空水淹区域或者强含水层下急倾斜煤层，未按照国家规定消除水患威胁的。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第十条  “超层越界开采”重大事故隐患，是指有下列情形之一的：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（一）超出采矿许可证载明的开采煤层层位或者标高进行开采的；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（二）超出采矿许可证载明的坐标控制范围进行开采的；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（三）擅自开采（破坏）安全煤柱的。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第十一条  “有冲击地压危险，未采取有效措施”重大事故隐患，是指有下列情形之一的：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（一）未按照国家规定进行煤层（岩层）冲击倾向性鉴定，或者开采有冲击倾向性煤层未进行冲击危险性评价，或者开采冲击地压煤层，未进行采区、采掘工作面冲击危险性评价的；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（二）有冲击地压危险的矿井未设置专门的防冲机构、未配备专业人员或者未编制专门设计的；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（三）未进行冲击地压危险性预测，或者未进行防冲措施效果检验以及防冲措施效果检验不达标仍组织生产建设的；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（四）开采冲击地压煤层时，违规开采孤岛煤柱，采掘工作面位置、间距不符合国家规定，或者开采顺序不合理、采掘速度不符合国家规定、违反国家规定布置巷道或者留设煤（岩）柱造成应力集中的；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（五）未制定或者未严格执行冲击地压危险区域人员准入制度的。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第十二条  “自然发火严重，未采取有效措施”重大事故隐患，是指有下列情形之一的：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（一）开采容易自燃和自燃煤层的矿井，未编制防灭火专项设计或者未采取综合防灭火措施的；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（二）高瓦斯矿井采用放顶煤采煤法不能有效防治煤层自然发火的；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（三）有自然发火征兆没有采取相应的安全防范措施继续生产建设的；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（四）违反《煤矿安全规程》规定启封火区的。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第十三条  “使用明令禁止使用或者淘汰的设备、工艺”重大事故隐患，是指有下列情形之一的：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（一）使用被列入国家禁止井工煤矿使用的设备及工艺目录的产品或者工艺的；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（二）井下电气设备、电缆未取得煤矿矿用产品安全标志的；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（三）井下电气设备选型与矿井瓦斯等级不符，或者采（盘）区内防爆型电气设备存在失爆，或者井下使用非防爆无轨胶轮车的；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（四）未按照矿井瓦斯等级选用相应的煤矿许用炸药和雷管、未使用专用发爆器，或者裸露爆破的；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（五）采煤工作面不能保证2个畅通的安全出口的；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（六）高瓦斯矿井、煤与瓦斯突出矿井、开采容易自燃和自燃煤层（薄煤层除外）矿井，采煤工作面采用前进式采煤方法的。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第十四条  “煤矿没有双回路供电系统”重大事故隐患，是指有下列情形之一的：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（一）单回路供电的；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（二）有两回路电源线路但取自一个区域变电所同一母线段的；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（三）进入二期工程的高瓦斯、煤与瓦斯突出、水文地质类型为复杂和极复杂的建设矿井，以及进入三期工程的其他建设矿井，未形成两回路供电的。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第十五条  “新建煤矿边建设边生产，煤矿改扩建期间，在改扩建的区域生产，或者在其他区域的生产超出安全设施设计规定的范围和规模”重大事故隐患，是指有下列情形之一的：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（一）建设项目安全设施设计未经审查批准，或者审查批准后作出重大变更未经再次审查批准擅自组织施工的；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（二）新建煤矿在建设期间组织采煤的（经批准的联合试运转除外）；</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（三）改扩建矿井在改扩建区域生产的；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（四）改扩建矿井在非改扩建区域超出设计规定范围和规模生产的。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第十六条  “煤矿实行整体承包生产经营后，未重新取得或者及时变更安全生产许可证而从事生产，或者承包</w:t>
      </w:r>
      <w:r w:rsidRPr="00B73FF7">
        <w:rPr>
          <w:rFonts w:asciiTheme="minorEastAsia" w:eastAsiaTheme="minorEastAsia" w:hAnsiTheme="minorEastAsia" w:cs="宋体" w:hint="eastAsia"/>
          <w:color w:val="333333"/>
          <w:sz w:val="32"/>
          <w:szCs w:val="32"/>
        </w:rPr>
        <w:lastRenderedPageBreak/>
        <w:t>方再次转包，以及将井下采掘工作面和井巷维修作业进行劳务承包”重大事故隐患，是指有下列情形之一的：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（一）煤矿未采取整体承包形式进行发包，或者将煤矿整体发包给不具有法人资格或者未取得合法有效营业执照的单位或者个人的；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（二）实行整体承包的煤矿，未签订安全生产管理协议，或者未按照国家规定约定双方安全生产管理职责而进行生产的；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（三）实行整体承包的煤矿，未重新取得或者变更安全生产许可证进行生产的；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（四）实行整体承包的煤矿，承包方再次将煤矿转包给其他单位或者个人的；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井工煤矿将井下采掘作业或者井巷维修作业（井筒及井下新水平延深的井底车场、主运输、主通风、主排水、主要机电硐室开拓工程除外）作为独立工程发包给其他企业或者个人的，以及转包井下新水平延深开拓工程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第十七条  “煤矿改制期间，未明确安全生产责任人和安全管理机构，或者在完成改制后，未重新取得或者变</w:t>
      </w:r>
      <w:r w:rsidRPr="00B73FF7">
        <w:rPr>
          <w:rFonts w:asciiTheme="minorEastAsia" w:eastAsiaTheme="minorEastAsia" w:hAnsiTheme="minorEastAsia" w:cs="宋体" w:hint="eastAsia"/>
          <w:color w:val="333333"/>
          <w:sz w:val="32"/>
          <w:szCs w:val="32"/>
        </w:rPr>
        <w:lastRenderedPageBreak/>
        <w:t>更采矿许可证、安全生产许可证和营业执照”重大事故隐患，是指有下列情形之一的：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（一）改制期间，未明确安全生产责任人进行生产建设的；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（二）改制期间，未健全安全生产管理机构和配备安全管理人员进行生产建设的；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（三）完成改制后，未重新取得或者变更采矿许可证、安全生产许可证、营业执照而进行生产建设的。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第十八条  “其他重大事故隐患”，是指有下列情形之一的：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（一）未分别配备专职的矿长、总工程师和分管安全、生产、机电的副矿长，以及负责采煤、掘进、机电运输、通风、地测、防治水工作的专业技术人员的；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（二）未按照国家规定足额提取或者未按照国家规定范围使用安全生产费用的；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（三）未按照国家规定进行瓦斯等级鉴定，或者瓦斯等级鉴定弄虚作假的；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lastRenderedPageBreak/>
        <w:t>（四）出现瓦斯动力现象，或者相邻矿井开采的同一煤层发生了突出事故，或者被鉴定、认定为突出煤层，以及煤层瓦斯压力达到或者超过0.74MPa的非突出矿井，未立即按照突出煤层管理并在国家规定期限内进行突出危险性鉴定的（直接认定为突出矿井的除外）；</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（五）图纸作假、隐瞒采掘工作面，提供虚假信息、隐瞒下井人数，或者矿长、总工程师（技术负责人）履行安全生产岗位责任制及管理制度时伪造记录，弄虚作假的；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（六）矿井未安装安全监控系统、人员位置监测系统或者系统不能正常运行，以及对系统数据进行修改、删除及屏蔽，或者煤与瓦斯突出矿井存在第七条第二项情形的；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（七）提升（运送）人员的提升机未按照《煤矿安全规程》规定安装保护装置，或者保护装置失效，或者超员运行的；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（八）带式输送机的输送带入井前未经过第三方阻燃和抗静电性能试验，或者试验不合格入井，或者输送带防打滑、跑偏、堆煤等保护装置或者温度、烟雾监测装置失效的；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（九）掘进工作面后部巷道或者独头巷道维修（着火点、高温点处理）时，维修（处理）点以里继续掘进或者</w:t>
      </w:r>
      <w:r w:rsidRPr="00B73FF7">
        <w:rPr>
          <w:rFonts w:asciiTheme="minorEastAsia" w:eastAsiaTheme="minorEastAsia" w:hAnsiTheme="minorEastAsia" w:cs="宋体" w:hint="eastAsia"/>
          <w:color w:val="333333"/>
          <w:sz w:val="32"/>
          <w:szCs w:val="32"/>
        </w:rPr>
        <w:lastRenderedPageBreak/>
        <w:t>有人员进入，或者采掘工作面未按照国家规定安设压风、供水、通信线路及装置的；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（十）露天煤矿边坡角大于设计最大值，或者边坡发生严重变形未及时采取措施进行治理的；</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（十一）国家矿山安全监察机构认定的其他重大事故隐患。</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第十九条  本标准所称的国家规定，是指有关法律、行政法规、部门规章、国家标准、行业标准，以及国务院及其应急管理部门、国家矿山安全监察机构依法制定的行政规范性文件。</w:t>
      </w:r>
    </w:p>
    <w:p w:rsidR="00B73FF7" w:rsidRPr="00B73FF7" w:rsidRDefault="00B73FF7" w:rsidP="00B73FF7">
      <w:pPr>
        <w:shd w:val="clear" w:color="auto" w:fill="FFFFFF"/>
        <w:adjustRightInd/>
        <w:snapToGrid/>
        <w:spacing w:before="525" w:afterLines="100" w:line="560" w:lineRule="exact"/>
        <w:ind w:firstLineChars="200" w:firstLine="640"/>
        <w:rPr>
          <w:rFonts w:ascii="宋体" w:eastAsia="宋体" w:hAnsi="宋体" w:cs="宋体" w:hint="eastAsia"/>
          <w:color w:val="333333"/>
          <w:sz w:val="27"/>
          <w:szCs w:val="27"/>
        </w:rPr>
      </w:pPr>
      <w:r w:rsidRPr="00B73FF7">
        <w:rPr>
          <w:rFonts w:asciiTheme="minorEastAsia" w:eastAsiaTheme="minorEastAsia" w:hAnsiTheme="minorEastAsia" w:cs="宋体" w:hint="eastAsia"/>
          <w:color w:val="333333"/>
          <w:sz w:val="32"/>
          <w:szCs w:val="32"/>
        </w:rPr>
        <w:t>第二十条  本标准自2021年1月1日起施行。原国家安全生产监督管理总局2015年12月3日公布的《煤矿重大生产安全事故隐患判定标准》（国家安全生产监督管理总局令第85号）同时废止。</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B73FF7"/>
    <w:rsid w:val="00D31D50"/>
    <w:rsid w:val="00E649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988220">
      <w:bodyDiv w:val="1"/>
      <w:marLeft w:val="0"/>
      <w:marRight w:val="0"/>
      <w:marTop w:val="0"/>
      <w:marBottom w:val="0"/>
      <w:divBdr>
        <w:top w:val="none" w:sz="0" w:space="0" w:color="auto"/>
        <w:left w:val="none" w:sz="0" w:space="0" w:color="auto"/>
        <w:bottom w:val="none" w:sz="0" w:space="0" w:color="auto"/>
        <w:right w:val="none" w:sz="0" w:space="0" w:color="auto"/>
      </w:divBdr>
      <w:divsChild>
        <w:div w:id="1464231050">
          <w:marLeft w:val="0"/>
          <w:marRight w:val="0"/>
          <w:marTop w:val="0"/>
          <w:marBottom w:val="0"/>
          <w:divBdr>
            <w:top w:val="none" w:sz="0" w:space="0" w:color="auto"/>
            <w:left w:val="none" w:sz="0" w:space="0" w:color="auto"/>
            <w:bottom w:val="none" w:sz="0" w:space="0" w:color="auto"/>
            <w:right w:val="none" w:sz="0" w:space="0" w:color="auto"/>
          </w:divBdr>
          <w:divsChild>
            <w:div w:id="570696231">
              <w:marLeft w:val="0"/>
              <w:marRight w:val="0"/>
              <w:marTop w:val="0"/>
              <w:marBottom w:val="0"/>
              <w:divBdr>
                <w:top w:val="none" w:sz="0" w:space="0" w:color="auto"/>
                <w:left w:val="none" w:sz="0" w:space="0" w:color="auto"/>
                <w:bottom w:val="none" w:sz="0" w:space="0" w:color="auto"/>
                <w:right w:val="none" w:sz="0" w:space="0" w:color="auto"/>
              </w:divBdr>
              <w:divsChild>
                <w:div w:id="990912195">
                  <w:marLeft w:val="0"/>
                  <w:marRight w:val="0"/>
                  <w:marTop w:val="0"/>
                  <w:marBottom w:val="0"/>
                  <w:divBdr>
                    <w:top w:val="none" w:sz="0" w:space="0" w:color="auto"/>
                    <w:left w:val="none" w:sz="0" w:space="0" w:color="auto"/>
                    <w:bottom w:val="none" w:sz="0" w:space="0" w:color="auto"/>
                    <w:right w:val="none" w:sz="0" w:space="0" w:color="auto"/>
                  </w:divBdr>
                  <w:divsChild>
                    <w:div w:id="1059135959">
                      <w:marLeft w:val="1"/>
                      <w:marRight w:val="1"/>
                      <w:marTop w:val="300"/>
                      <w:marBottom w:val="300"/>
                      <w:divBdr>
                        <w:top w:val="none" w:sz="0" w:space="0" w:color="auto"/>
                        <w:left w:val="none" w:sz="0" w:space="0" w:color="auto"/>
                        <w:bottom w:val="none" w:sz="0" w:space="0" w:color="auto"/>
                        <w:right w:val="none" w:sz="0" w:space="0" w:color="auto"/>
                      </w:divBdr>
                      <w:divsChild>
                        <w:div w:id="8358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2025-08-26T07:03:00Z</dcterms:modified>
</cp:coreProperties>
</file>