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footer1.xml" ContentType="application/vnd.openxmlformats-officedocument.wordprocessingml.footer+xml"/>
  <Override PartName="/word/media/image1.jpg" ContentType="image/jpe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GB 55037-2022 </w:t>
      </w:r>
    </w:p>
    <w:tbl>
      <w:tblPr>
        <w:tblStyle w:val="Table"/>
        <w:tblW w:type="pct" w:w="5000"/>
        <w:tblLayout w:type="fixed"/>
        <w:tblLook w:firstRow="0" w:lastRow="0" w:firstColumn="0" w:lastColumn="0" w:noHBand="0" w:noVBand="0" w:val="0000"/>
      </w:tblPr>
      <w:tblGrid>
        <w:gridCol w:w="2640"/>
        <w:gridCol w:w="2640"/>
        <w:gridCol w:w="2640"/>
      </w:tblGrid>
      <w:tr>
        <w:tc>
          <w:tcPr/>
          <w:p>
            <w:pPr>
              <w:pStyle w:val="Compact"/>
            </w:pPr>
            <w:r>
              <w:rPr>
                <w:rFonts w:hint="eastAsia"/>
              </w:rPr>
              <w:t xml:space="preserve">《建筑防火通用规范》</w:t>
            </w:r>
          </w:p>
        </w:tc>
        <w:tc>
          <w:tcPr/>
          <w:p>
            <w:pPr>
              <w:pStyle w:val="Compact"/>
            </w:pPr>
            <w:r>
              <w:t xml:space="preserve">GB 50016-2014</w:t>
            </w:r>
            <w:r>
              <w:br/>
            </w:r>
            <w:r>
              <w:rPr>
                <w:rFonts w:hint="eastAsia"/>
              </w:rPr>
              <w:t xml:space="preserve">《建筑设计防火规范》</w:t>
            </w:r>
          </w:p>
        </w:tc>
        <w:tc>
          <w:tcPr/>
          <w:p>
            <w:pPr>
              <w:pStyle w:val="Compact"/>
            </w:pPr>
            <w:r>
              <w:br/>
            </w:r>
            <w:r>
              <w:rPr>
                <w:rFonts w:hint="eastAsia"/>
              </w:rPr>
              <w:t xml:space="preserve">变化分析</w:t>
            </w:r>
          </w:p>
        </w:tc>
      </w:tr>
      <w:tr>
        <w:tc>
          <w:tcPr/>
          <w:p>
            <w:pPr>
              <w:pStyle w:val="Compact"/>
            </w:pPr>
            <w:r>
              <w:t xml:space="preserve">2.2.3 </w:t>
            </w:r>
            <w:r>
              <w:rPr>
                <w:rFonts w:hint="eastAsia"/>
              </w:rPr>
              <w:t xml:space="preserve">除有特殊要求的建筑和甲类厂房可不设置消防救援口外，在建筑的外墙上应设置便于消防救援人员出入的消防救援口，并应符合下列规定：</w:t>
            </w:r>
            <w:r>
              <w:br/>
            </w:r>
            <w:r>
              <w:t xml:space="preserve">2 </w:t>
            </w:r>
            <w:r>
              <w:rPr>
                <w:rFonts w:hint="eastAsia"/>
              </w:rPr>
              <w:t xml:space="preserve">无外窗的建筑应每层设置消防救援口，有外窗的建筑应自第三层起每层设置消防救援口；</w:t>
            </w:r>
            <w:r>
              <w:br/>
            </w:r>
            <w:r>
              <w:t xml:space="preserve">3 </w:t>
            </w:r>
            <w:r>
              <w:rPr>
                <w:rFonts w:hint="eastAsia"/>
              </w:rPr>
              <w:t xml:space="preserve">消防救援口的净高度和净宽度均不应小于1.0m，当利用门时，净宽度不应小于0.8m；</w:t>
            </w:r>
            <w:r>
              <w:br/>
            </w:r>
          </w:p>
        </w:tc>
        <w:tc>
          <w:tcPr/>
          <w:p>
            <w:pPr>
              <w:pStyle w:val="Compact"/>
            </w:pPr>
            <w:r>
              <w:t xml:space="preserve">7.2.4 </w:t>
            </w:r>
            <w:r>
              <w:rPr>
                <w:rFonts w:hint="eastAsia"/>
              </w:rPr>
              <w:t xml:space="preserve">厂房、仓库、公共建筑的外墙应在每层的适当位置设置可供消防救援人员进入的窗口。</w:t>
            </w:r>
            <w:r>
              <w:br/>
            </w:r>
            <w:r>
              <w:t xml:space="preserve">7.2.5 </w:t>
            </w:r>
            <w:r>
              <w:rPr>
                <w:rFonts w:hint="eastAsia"/>
              </w:rPr>
              <w:t xml:space="preserve">供消防救援人员进入的窗口的净高度和净宽度均不应小于1.0m</w:t>
            </w:r>
            <w:r>
              <w:br/>
            </w:r>
          </w:p>
        </w:tc>
        <w:tc>
          <w:tcPr/>
          <w:p>
            <w:pPr>
              <w:pStyle w:val="Compact"/>
            </w:pPr>
            <w:r>
              <w:rPr>
                <w:rFonts w:hint="eastAsia"/>
              </w:rPr>
              <w:t xml:space="preserve">增加了特殊建筑和甲类厂房可不设置消防救援窗口的豁免条款</w:t>
            </w:r>
            <w:r>
              <w:br/>
            </w:r>
            <w:r>
              <w:rPr>
                <w:rFonts w:hint="eastAsia"/>
              </w:rPr>
              <w:t xml:space="preserve">消防救援窗口由每层设置，改为：有外窗情况下，自第三层开始设置的要求</w:t>
            </w:r>
            <w:r>
              <w:br/>
            </w:r>
            <w:r>
              <w:rPr>
                <w:rFonts w:hint="eastAsia"/>
              </w:rPr>
              <w:t xml:space="preserve">增加了当利用门时，消防救援窗口净宽度最低可为0.8m的规定</w:t>
            </w:r>
            <w:r>
              <w:br/>
            </w:r>
          </w:p>
        </w:tc>
      </w:tr>
      <w:tr>
        <w:tc>
          <w:tcPr/>
          <w:p>
            <w:pPr>
              <w:pStyle w:val="Compact"/>
            </w:pPr>
            <w:r>
              <w:t xml:space="preserve">2.2.10 </w:t>
            </w:r>
            <w:r>
              <w:rPr>
                <w:rFonts w:hint="eastAsia"/>
              </w:rPr>
              <w:t xml:space="preserve">消防电梯应符合下列规定：</w:t>
            </w:r>
            <w:r>
              <w:br/>
            </w:r>
            <w:r>
              <w:t xml:space="preserve">3 </w:t>
            </w:r>
            <w:r>
              <w:rPr>
                <w:rFonts w:hint="eastAsia"/>
              </w:rPr>
              <w:t xml:space="preserve">电梯的动力和控制线缆与控制面板的连接处、控制面板的外壳防水性能等级不应低于IPX5；</w:t>
            </w:r>
            <w:r>
              <w:br/>
            </w:r>
            <w:r>
              <w:t xml:space="preserve">6 </w:t>
            </w:r>
            <w:r>
              <w:rPr>
                <w:rFonts w:hint="eastAsia"/>
              </w:rPr>
              <w:t xml:space="preserve">电梯轿厢内部应设置专用消防对讲电话和视频监控系统的终端设备。</w:t>
            </w:r>
            <w:r>
              <w:br/>
            </w:r>
          </w:p>
        </w:tc>
        <w:tc>
          <w:tcPr/>
          <w:p>
            <w:pPr>
              <w:pStyle w:val="Compact"/>
            </w:pPr>
            <w:r>
              <w:t xml:space="preserve">7.3.8 </w:t>
            </w:r>
            <w:r>
              <w:rPr>
                <w:rFonts w:hint="eastAsia"/>
              </w:rPr>
              <w:t xml:space="preserve">消防电梯应符合下列规定：</w:t>
            </w:r>
            <w:r>
              <w:br/>
            </w:r>
            <w:r>
              <w:t xml:space="preserve">4 </w:t>
            </w:r>
            <w:r>
              <w:rPr>
                <w:rFonts w:hint="eastAsia"/>
              </w:rPr>
              <w:t xml:space="preserve">电梯的动力与控制电缆、电线、控制面板应采取防水措施；</w:t>
            </w:r>
            <w:r>
              <w:br/>
            </w:r>
            <w:r>
              <w:t xml:space="preserve">7 </w:t>
            </w:r>
            <w:r>
              <w:rPr>
                <w:rFonts w:hint="eastAsia"/>
              </w:rPr>
              <w:t xml:space="preserve">电梯轿厢内部应设置专用消防对讲电话。</w:t>
            </w:r>
            <w:r>
              <w:br/>
            </w:r>
          </w:p>
        </w:tc>
        <w:tc>
          <w:tcPr/>
          <w:p>
            <w:pPr>
              <w:pStyle w:val="Compact"/>
            </w:pPr>
            <w:r>
              <w:rPr>
                <w:rFonts w:hint="eastAsia"/>
              </w:rPr>
              <w:t xml:space="preserve">明确了电梯动力控制线缆等的外壳防水性能等级不应低于IPX5</w:t>
            </w:r>
            <w:r>
              <w:br/>
            </w:r>
            <w:r>
              <w:rPr>
                <w:rFonts w:hint="eastAsia"/>
              </w:rPr>
              <w:t xml:space="preserve">增加了电梯轿厢设置视频监控系统的要求</w:t>
            </w:r>
          </w:p>
        </w:tc>
      </w:tr>
      <w:tr>
        <w:tc>
          <w:tcPr/>
          <w:p>
            <w:pPr>
              <w:pStyle w:val="Compact"/>
            </w:pPr>
            <w:r>
              <w:t xml:space="preserve">3.2.1 </w:t>
            </w:r>
            <w:r>
              <w:rPr>
                <w:rFonts w:hint="eastAsia"/>
              </w:rPr>
              <w:t xml:space="preserve">甲类厂房与人员密集场所的防火间距不应小于50m，与明火或散发火花地点的防火间距不应小于30m。</w:t>
            </w:r>
            <w:r>
              <w:br/>
            </w:r>
            <w:r>
              <w:t xml:space="preserve">3.2.2 </w:t>
            </w:r>
            <w:r>
              <w:rPr>
                <w:rFonts w:hint="eastAsia"/>
              </w:rPr>
              <w:t xml:space="preserve">甲类仓库与高层民用建筑和设置人员密集场所的民用建筑的防火间距不应小于50m，甲类仓库之间的防火间距不应小于20m。</w:t>
            </w:r>
            <w:r>
              <w:br/>
            </w:r>
            <w:r>
              <w:t xml:space="preserve">3.2.3 </w:t>
            </w:r>
            <w:r>
              <w:rPr>
                <w:rFonts w:hint="eastAsia"/>
              </w:rPr>
              <w:t xml:space="preserve">除乙类第5项、第6项物品仓库外，乙类仓库与高层民用建筑和设置人员密集场所的其他民用建筑的防火间距不应小于50m。</w:t>
            </w:r>
            <w:r>
              <w:br/>
            </w:r>
          </w:p>
        </w:tc>
        <w:tc>
          <w:tcPr/>
          <w:p>
            <w:pPr>
              <w:pStyle w:val="Compact"/>
            </w:pPr>
            <w:r>
              <w:t xml:space="preserve">3.4.2 </w:t>
            </w:r>
            <w:r>
              <w:rPr>
                <w:rFonts w:hint="eastAsia"/>
              </w:rPr>
              <w:t xml:space="preserve">甲类厂房与重要公共建筑的防火间距不应小于50m，与明火或散发火花地点的防火间距不应小于30m。</w:t>
            </w:r>
            <w:r>
              <w:br/>
            </w:r>
            <w:r>
              <w:t xml:space="preserve">3.5.1 </w:t>
            </w:r>
            <w:r>
              <w:rPr>
                <w:rFonts w:hint="eastAsia"/>
              </w:rPr>
              <w:t xml:space="preserve">甲类仓库之间及与其他建筑、明火或散发火花地点、铁路、道路等的防火间距不应小于表3.5.1</w:t>
            </w:r>
            <w:r>
              <w:t xml:space="preserve"> </w:t>
            </w:r>
            <w:r>
              <w:rPr>
                <w:rFonts w:hint="eastAsia"/>
              </w:rPr>
              <w:t xml:space="preserve">的规定（重要公共建筑50m）。</w:t>
            </w:r>
            <w:r>
              <w:br/>
            </w:r>
            <w:r>
              <w:rPr>
                <w:rFonts w:hint="eastAsia"/>
              </w:rPr>
              <w:t xml:space="preserve">3.5.2（3）除乙类第6</w:t>
            </w:r>
            <w:r>
              <w:t xml:space="preserve"> </w:t>
            </w:r>
            <w:r>
              <w:rPr>
                <w:rFonts w:hint="eastAsia"/>
              </w:rPr>
              <w:t xml:space="preserve">项物品外的乙类仓库，与民用建筑的防火间距不宜小于25m，与重要公共建筑的防火间距不应小于50m</w:t>
            </w:r>
            <w:r>
              <w:br/>
            </w:r>
          </w:p>
        </w:tc>
        <w:tc>
          <w:tcPr/>
          <w:p>
            <w:pPr>
              <w:pStyle w:val="Compact"/>
            </w:pPr>
            <w:r>
              <w:rPr>
                <w:rFonts w:hint="eastAsia"/>
              </w:rPr>
              <w:t xml:space="preserve">“重要公共建筑”改为“人员密集场所”</w:t>
            </w:r>
            <w:r>
              <w:br/>
            </w:r>
          </w:p>
        </w:tc>
      </w:tr>
      <w:tr>
        <w:tc>
          <w:tcPr/>
          <w:p>
            <w:pPr>
              <w:pStyle w:val="Compact"/>
            </w:pPr>
            <w:r>
              <w:t xml:space="preserve">3.4.2 </w:t>
            </w:r>
            <w:r>
              <w:rPr>
                <w:rFonts w:hint="eastAsia"/>
              </w:rPr>
              <w:t xml:space="preserve">下列建筑应至少沿建筑的两条长边设置消防车道：</w:t>
            </w:r>
            <w:r>
              <w:br/>
            </w:r>
            <w:r>
              <w:t xml:space="preserve">1 </w:t>
            </w:r>
            <w:r>
              <w:rPr>
                <w:rFonts w:hint="eastAsia"/>
              </w:rPr>
              <w:t xml:space="preserve">高层厂房，占地面积大于3000m²的单、多层甲、乙、丙类厂房；</w:t>
            </w:r>
            <w:r>
              <w:br/>
            </w:r>
            <w:r>
              <w:t xml:space="preserve">2 </w:t>
            </w:r>
            <w:r>
              <w:rPr>
                <w:rFonts w:hint="eastAsia"/>
              </w:rPr>
              <w:t xml:space="preserve">占地面积大于1500m²的乙、丙类仓库；</w:t>
            </w:r>
            <w:r>
              <w:br/>
            </w:r>
            <w:r>
              <w:t xml:space="preserve">3 </w:t>
            </w:r>
            <w:r>
              <w:rPr>
                <w:rFonts w:hint="eastAsia"/>
              </w:rPr>
              <w:t xml:space="preserve">飞机库。</w:t>
            </w:r>
            <w:r>
              <w:br/>
            </w:r>
          </w:p>
        </w:tc>
        <w:tc>
          <w:tcPr/>
          <w:p>
            <w:pPr>
              <w:pStyle w:val="Compact"/>
            </w:pPr>
            <w:r>
              <w:t xml:space="preserve">7.1.3 </w:t>
            </w:r>
            <w:r>
              <w:rPr>
                <w:rFonts w:hint="eastAsia"/>
              </w:rPr>
              <w:t xml:space="preserve">工厂、仓库区内应设置消防车道。</w:t>
            </w:r>
            <w:r>
              <w:br/>
            </w:r>
            <w:r>
              <w:rPr>
                <w:rFonts w:hint="eastAsia"/>
              </w:rPr>
              <w:t xml:space="preserve">高层厂房，占地面积大于3000m2</w:t>
            </w:r>
            <w:r>
              <w:t xml:space="preserve"> </w:t>
            </w:r>
            <w:r>
              <w:rPr>
                <w:rFonts w:hint="eastAsia"/>
              </w:rPr>
              <w:t xml:space="preserve">的甲、乙、丙类厂房和占地面积大于1500m2</w:t>
            </w:r>
            <w:r>
              <w:t xml:space="preserve"> </w:t>
            </w:r>
            <w:r>
              <w:rPr>
                <w:rFonts w:hint="eastAsia"/>
              </w:rPr>
              <w:t xml:space="preserve">的乙、丙类仓库，应设置环形消防车道，确有困难时，应沿建筑物的两个长边设置消防车道。</w:t>
            </w:r>
            <w:r>
              <w:br/>
            </w:r>
          </w:p>
        </w:tc>
        <w:tc>
          <w:tcPr/>
          <w:p>
            <w:pPr>
              <w:pStyle w:val="Compact"/>
            </w:pPr>
            <w:r>
              <w:rPr>
                <w:rFonts w:hint="eastAsia"/>
              </w:rPr>
              <w:t xml:space="preserve">“应设置环形消防车道”改为了“应至少沿建筑的两条长边设置消防车道”</w:t>
            </w:r>
            <w:r>
              <w:br/>
            </w:r>
          </w:p>
        </w:tc>
      </w:tr>
      <w:tr>
        <w:tc>
          <w:tcPr/>
          <w:p>
            <w:pPr>
              <w:pStyle w:val="Compact"/>
            </w:pPr>
            <w:r>
              <w:t xml:space="preserve">3.4.5 </w:t>
            </w:r>
            <w:r>
              <w:rPr>
                <w:rFonts w:hint="eastAsia"/>
              </w:rPr>
              <w:t xml:space="preserve">消防车道或兼作消防车道的道路应符合下列规定：</w:t>
            </w:r>
            <w:r>
              <w:br/>
            </w:r>
            <w:r>
              <w:t xml:space="preserve">4 </w:t>
            </w:r>
            <w:r>
              <w:rPr>
                <w:rFonts w:hint="eastAsia"/>
              </w:rPr>
              <w:t xml:space="preserve">坡度应满足消防车满载时正常通行的要求，且不应大于10%，兼作消防救援场地的消防车道，坡度尚应满足消防车停靠和消防救援作业的要求；</w:t>
            </w:r>
            <w:r>
              <w:br/>
            </w:r>
            <w:r>
              <w:t xml:space="preserve">6 </w:t>
            </w:r>
            <w:r>
              <w:rPr>
                <w:rFonts w:hint="eastAsia"/>
              </w:rPr>
              <w:t xml:space="preserve">长度大于40m的尽头式消防车道应设置满足消防车回转要求的场地或道路；</w:t>
            </w:r>
            <w:r>
              <w:br/>
            </w:r>
          </w:p>
        </w:tc>
        <w:tc>
          <w:tcPr/>
          <w:p>
            <w:pPr>
              <w:pStyle w:val="Compact"/>
            </w:pPr>
            <w:r>
              <w:t xml:space="preserve">7.1.8 </w:t>
            </w:r>
            <w:r>
              <w:rPr>
                <w:rFonts w:hint="eastAsia"/>
              </w:rPr>
              <w:t xml:space="preserve">消防车道应符合下列要求：</w:t>
            </w:r>
            <w:r>
              <w:br/>
            </w:r>
            <w:r>
              <w:t xml:space="preserve">5 </w:t>
            </w:r>
            <w:r>
              <w:rPr>
                <w:rFonts w:hint="eastAsia"/>
              </w:rPr>
              <w:t xml:space="preserve">消防车道的坡度不宜大于8%。</w:t>
            </w:r>
            <w:r>
              <w:br/>
            </w:r>
            <w:r>
              <w:t xml:space="preserve">7.1.9 </w:t>
            </w:r>
            <w:r>
              <w:rPr>
                <w:rFonts w:hint="eastAsia"/>
              </w:rPr>
              <w:t xml:space="preserve">环形消防车道至少应有两处与其他车道连通。尽头式消防车道应设置回车道或回车场，回车场的面积不应小于12m×12m；对于高层建筑，不宜小于15m×15m；供重型消防车使用时，不宜小于18m×18m。</w:t>
            </w:r>
            <w:r>
              <w:br/>
            </w:r>
          </w:p>
        </w:tc>
        <w:tc>
          <w:tcPr/>
          <w:p>
            <w:pPr>
              <w:pStyle w:val="Compact"/>
            </w:pPr>
            <w:r>
              <w:rPr>
                <w:rFonts w:hint="eastAsia"/>
              </w:rPr>
              <w:t xml:space="preserve">消防车道的坡度由“不宜大于8%”改为“不应大于10%”</w:t>
            </w:r>
            <w:r>
              <w:br/>
            </w:r>
            <w:r>
              <w:rPr>
                <w:rFonts w:hint="eastAsia"/>
              </w:rPr>
              <w:t xml:space="preserve">放宽到车道长度大于40m时，尽头式消防车道应设置回车道或回车场</w:t>
            </w:r>
            <w:r>
              <w:br/>
            </w:r>
          </w:p>
        </w:tc>
      </w:tr>
      <w:tr>
        <w:tc>
          <w:tcPr/>
          <w:p>
            <w:pPr>
              <w:pStyle w:val="Compact"/>
            </w:pPr>
            <w:r>
              <w:t xml:space="preserve">3.4.6 </w:t>
            </w:r>
            <w:r>
              <w:rPr>
                <w:rFonts w:hint="eastAsia"/>
              </w:rPr>
              <w:t xml:space="preserve">高层建筑应至少沿其一条长边设置消防车登高操作场地。未连续布置的消防车登高操作场地，应保证消防车的救援作业范围能覆盖该建筑的全部消防扑救面。</w:t>
            </w:r>
            <w:r>
              <w:br/>
            </w:r>
          </w:p>
        </w:tc>
        <w:tc>
          <w:tcPr/>
          <w:p>
            <w:pPr>
              <w:pStyle w:val="Compact"/>
            </w:pPr>
            <w:r>
              <w:t xml:space="preserve">7.2.1 </w:t>
            </w:r>
            <w:r>
              <w:rPr>
                <w:rFonts w:hint="eastAsia"/>
              </w:rPr>
              <w:t xml:space="preserve">高层建筑应至少沿一个长边或周边长度的l/4</w:t>
            </w:r>
            <w:r>
              <w:t xml:space="preserve"> </w:t>
            </w:r>
            <w:r>
              <w:rPr>
                <w:rFonts w:hint="eastAsia"/>
              </w:rPr>
              <w:t xml:space="preserve">且不小于一个长边长度的底边连续布置消防车登高操作场地，该范围内的裙房进深不应大于4m。</w:t>
            </w:r>
            <w:r>
              <w:br/>
            </w:r>
            <w:r>
              <w:rPr>
                <w:rFonts w:hint="eastAsia"/>
              </w:rPr>
              <w:t xml:space="preserve">建筑高度不大于50m</w:t>
            </w:r>
            <w:r>
              <w:t xml:space="preserve"> </w:t>
            </w:r>
            <w:r>
              <w:rPr>
                <w:rFonts w:hint="eastAsia"/>
              </w:rPr>
              <w:t xml:space="preserve">的建筑，连续布置消防车登高操作场地确有困难时，可间隔布置，但间隔距离不宜大于30m，且消防车登高操作场地的总长度仍应符合上述规定。</w:t>
            </w:r>
            <w:r>
              <w:br/>
            </w:r>
          </w:p>
        </w:tc>
        <w:tc>
          <w:tcPr/>
          <w:p>
            <w:pPr>
              <w:pStyle w:val="Compact"/>
            </w:pPr>
            <w:r>
              <w:rPr>
                <w:rFonts w:hint="eastAsia"/>
              </w:rPr>
              <w:t xml:space="preserve">新标没有申明大于50M的建筑必须连续布置消防车登高操作场地、也没有申明消防车登高操作场地的最低长度要求</w:t>
            </w:r>
            <w:r>
              <w:br/>
            </w:r>
          </w:p>
        </w:tc>
      </w:tr>
      <w:tr>
        <w:tc>
          <w:tcPr/>
          <w:p>
            <w:pPr>
              <w:pStyle w:val="Compact"/>
            </w:pPr>
            <w:r>
              <w:t xml:space="preserve">4.1.4 </w:t>
            </w:r>
            <w:r>
              <w:rPr>
                <w:rFonts w:hint="eastAsia"/>
              </w:rPr>
              <w:t xml:space="preserve">燃油或燃气锅炉、可燃油油浸变压器、充有可燃油的高压电容器和多油开关、柴油发电机房等独立建造的设备用房与民用建筑贴邻时，应采用防火墙分隔，且不应贴邻建筑中人员密集的场所。上述设备用房附设在建筑内时，应符合下列规定：</w:t>
            </w:r>
            <w:r>
              <w:br/>
            </w:r>
            <w:r>
              <w:t xml:space="preserve">1 </w:t>
            </w:r>
            <w:r>
              <w:rPr>
                <w:rFonts w:hint="eastAsia"/>
              </w:rPr>
              <w:t xml:space="preserve">当位于人员密集的场所的上一层、下一层或贴邻时，应采取防止设备用房的爆炸作用危及上一层、下一层或相邻场所的措施；</w:t>
            </w:r>
            <w:r>
              <w:br/>
            </w:r>
          </w:p>
        </w:tc>
        <w:tc>
          <w:tcPr/>
          <w:p>
            <w:pPr>
              <w:pStyle w:val="Compact"/>
            </w:pPr>
            <w:r>
              <w:t xml:space="preserve">5.4.12 </w:t>
            </w:r>
            <w:r>
              <w:rPr>
                <w:rFonts w:hint="eastAsia"/>
              </w:rPr>
              <w:t xml:space="preserve">燃油或燃气锅炉、油浸变压器、充有可燃油的高压电容器和多油开关等，宜设置在建筑外的专用房间内；确需贴邻民用建筑布置时，应采用防火墙与所贴邻的建筑分隔，且不应贴邻人员密集场所，该专用房间的耐火等级不应低于二级；确需布置在民用建筑内时，不应布置在人员密集场所的上一层、下一层或贴邻</w:t>
            </w:r>
            <w:r>
              <w:br/>
            </w:r>
          </w:p>
        </w:tc>
        <w:tc>
          <w:tcPr/>
          <w:p>
            <w:pPr>
              <w:pStyle w:val="Compact"/>
            </w:pPr>
            <w:r>
              <w:rPr>
                <w:rFonts w:hint="eastAsia"/>
              </w:rPr>
              <w:t xml:space="preserve">由不应布置在人员密集场所的上一层、下一层或贴邻，改为：采取防止设备用房的爆炸作用危及上一层、下一层或相邻场所的措施时可贴邻</w:t>
            </w:r>
          </w:p>
        </w:tc>
      </w:tr>
      <w:tr>
        <w:tc>
          <w:tcPr/>
          <w:p>
            <w:pPr>
              <w:pStyle w:val="Compact"/>
            </w:pPr>
            <w:r>
              <w:t xml:space="preserve">4.2.2 </w:t>
            </w:r>
            <w:r>
              <w:rPr>
                <w:rFonts w:hint="eastAsia"/>
              </w:rPr>
              <w:t xml:space="preserve">厂房内不应设置宿舍。直接服务于生产的办公室、休息室等辅助用房的设置，应符合下列规定：</w:t>
            </w:r>
            <w:r>
              <w:br/>
            </w:r>
            <w:r>
              <w:t xml:space="preserve">3 </w:t>
            </w:r>
            <w:r>
              <w:rPr>
                <w:rFonts w:hint="eastAsia"/>
              </w:rPr>
              <w:t xml:space="preserve">设置在丙类厂房内的辅助用房应采用防火门、防火窗、耐火极限不低于2.00h的防火隔墙和耐火极限不低于1.00h的楼板与厂房内的其他部位分隔，并应设置至少1个独立的安全出口。</w:t>
            </w:r>
            <w:r>
              <w:br/>
            </w:r>
          </w:p>
        </w:tc>
        <w:tc>
          <w:tcPr/>
          <w:p>
            <w:pPr>
              <w:pStyle w:val="Compact"/>
            </w:pPr>
            <w:r>
              <w:t xml:space="preserve">3.3.5 </w:t>
            </w:r>
            <w:r>
              <w:rPr>
                <w:rFonts w:hint="eastAsia"/>
              </w:rPr>
              <w:t xml:space="preserve">办公室、休息室设置在丙类厂房内时，应采用耐火极限不低于2.50h的防火隔墙和1.00h</w:t>
            </w:r>
            <w:r>
              <w:t xml:space="preserve"> </w:t>
            </w:r>
            <w:r>
              <w:rPr>
                <w:rFonts w:hint="eastAsia"/>
              </w:rPr>
              <w:t xml:space="preserve">的楼板与其他部位分隔，并应至少设置1</w:t>
            </w:r>
            <w:r>
              <w:t xml:space="preserve"> </w:t>
            </w:r>
            <w:r>
              <w:rPr>
                <w:rFonts w:hint="eastAsia"/>
              </w:rPr>
              <w:t xml:space="preserve">个独立的安全出口。如隔墙上需开设相互连通的门时，应采用乙级防火门。</w:t>
            </w:r>
            <w:r>
              <w:br/>
            </w:r>
          </w:p>
        </w:tc>
        <w:tc>
          <w:tcPr/>
          <w:p>
            <w:pPr>
              <w:pStyle w:val="Compact"/>
            </w:pPr>
            <w:r>
              <w:rPr>
                <w:rFonts w:hint="eastAsia"/>
              </w:rPr>
              <w:t xml:space="preserve">丙类厂房与其内部设置的办公室、休息室之间的防火隔墙最低耐火极限由2.50h改为2.00h</w:t>
            </w:r>
            <w:r>
              <w:br/>
            </w:r>
          </w:p>
        </w:tc>
      </w:tr>
      <w:tr>
        <w:tc>
          <w:tcPr/>
          <w:p>
            <w:pPr>
              <w:pStyle w:val="Compact"/>
            </w:pPr>
            <w:r>
              <w:t xml:space="preserve">4.2.4 </w:t>
            </w:r>
            <w:r>
              <w:rPr>
                <w:rFonts w:hint="eastAsia"/>
              </w:rPr>
              <w:t xml:space="preserve">与甲、乙类厂房贴邻并供该甲、乙类厂房专用的10kV及以下的变（配）电站，应采用无开口的防火墙或抗爆墙一面贴邻，与乙类厂房贴邻的防火墙上的开口应为甲级防火窗。其他变（配）电站应设置在甲、乙类厂房以及爆炸危险性区域外，不应与甲、乙类厂房贴邻。</w:t>
            </w:r>
            <w:r>
              <w:br/>
            </w:r>
          </w:p>
        </w:tc>
        <w:tc>
          <w:tcPr/>
          <w:p>
            <w:pPr>
              <w:pStyle w:val="Compact"/>
            </w:pPr>
            <w:r>
              <w:t xml:space="preserve">3.3.8 </w:t>
            </w:r>
            <w:r>
              <w:rPr>
                <w:rFonts w:hint="eastAsia"/>
              </w:rPr>
              <w:t xml:space="preserve">变、配电站不应设置在甲、乙类厂房内或贴邻，且不应设置在爆炸性气体、粉尘环境的危险区域内。供甲、乙类厂房专用的10kV</w:t>
            </w:r>
            <w:r>
              <w:t xml:space="preserve"> </w:t>
            </w:r>
            <w:r>
              <w:rPr>
                <w:rFonts w:hint="eastAsia"/>
              </w:rPr>
              <w:t xml:space="preserve">及以下的变、配电站，当采用无门、窗、洞口的防火墙分隔时，可一面贴邻，并应符合现行国家标准《爆炸危险环境电力装置设计规范》GB</w:t>
            </w:r>
            <w:r>
              <w:t xml:space="preserve"> 50058 </w:t>
            </w:r>
            <w:r>
              <w:rPr>
                <w:rFonts w:hint="eastAsia"/>
              </w:rPr>
              <w:t xml:space="preserve">等标准的规定。</w:t>
            </w:r>
            <w:r>
              <w:br/>
            </w:r>
          </w:p>
        </w:tc>
        <w:tc>
          <w:tcPr/>
          <w:p>
            <w:pPr>
              <w:pStyle w:val="Compact"/>
            </w:pPr>
            <w:r>
              <w:rPr>
                <w:rFonts w:hint="eastAsia"/>
              </w:rPr>
              <w:t xml:space="preserve">供该甲、乙类厂房专用的变配电站的贴邻防火分隔要求除了防火墙，增加了抗爆墙的选项</w:t>
            </w:r>
          </w:p>
        </w:tc>
      </w:tr>
      <w:tr>
        <w:tc>
          <w:tcPr/>
          <w:p>
            <w:pPr>
              <w:pStyle w:val="Compact"/>
            </w:pPr>
            <w:r>
              <w:t xml:space="preserve">4.2.7 </w:t>
            </w:r>
            <w:r>
              <w:rPr>
                <w:rFonts w:hint="eastAsia"/>
              </w:rPr>
              <w:t xml:space="preserve">丙、丁类仓库内的办公室、休息室等辅助用房，应采用防火门、防火窗、耐火极限不低于2.00h的防火隔墙和耐火极限不低于1.00h的楼板与其他部位分隔，并应设置独立的安全出口。</w:t>
            </w:r>
            <w:r>
              <w:br/>
            </w:r>
          </w:p>
        </w:tc>
        <w:tc>
          <w:tcPr/>
          <w:p>
            <w:pPr>
              <w:pStyle w:val="Compact"/>
            </w:pPr>
            <w:r>
              <w:t xml:space="preserve">3.3.9 </w:t>
            </w:r>
            <w:r>
              <w:rPr>
                <w:rFonts w:hint="eastAsia"/>
              </w:rPr>
              <w:t xml:space="preserve">办公室、休息室设置在丙、丁类仓库内时，应采用耐火极限不低于2.50h</w:t>
            </w:r>
            <w:r>
              <w:t xml:space="preserve"> </w:t>
            </w:r>
            <w:r>
              <w:rPr>
                <w:rFonts w:hint="eastAsia"/>
              </w:rPr>
              <w:t xml:space="preserve">的防火隔墙和1.00h</w:t>
            </w:r>
            <w:r>
              <w:t xml:space="preserve"> </w:t>
            </w:r>
            <w:r>
              <w:rPr>
                <w:rFonts w:hint="eastAsia"/>
              </w:rPr>
              <w:t xml:space="preserve">的楼板与其他部位分隔，并应设置独立的安全出口。隔墙上需开设相互连通的门时，应采用乙级防火门。</w:t>
            </w:r>
            <w:r>
              <w:br/>
            </w:r>
          </w:p>
        </w:tc>
        <w:tc>
          <w:tcPr/>
          <w:p>
            <w:pPr>
              <w:pStyle w:val="Compact"/>
            </w:pPr>
            <w:r>
              <w:rPr>
                <w:rFonts w:hint="eastAsia"/>
              </w:rPr>
              <w:t xml:space="preserve">丙、丁类仓库与其内部设置的办公室、休息室之间的防火隔墙最低耐火极限由2.50h改为2.00h</w:t>
            </w:r>
            <w:r>
              <w:br/>
            </w:r>
          </w:p>
        </w:tc>
      </w:tr>
      <w:tr>
        <w:tc>
          <w:tcPr/>
          <w:p>
            <w:pPr>
              <w:pStyle w:val="Compact"/>
            </w:pPr>
            <w:r>
              <w:t xml:space="preserve">4.3.2 </w:t>
            </w:r>
            <w:r>
              <w:rPr>
                <w:rFonts w:hint="eastAsia"/>
              </w:rPr>
              <w:t xml:space="preserve">住宅与非住宅功能合建的建筑应符合下列规定：</w:t>
            </w:r>
            <w:r>
              <w:br/>
            </w:r>
            <w:r>
              <w:t xml:space="preserve">1 </w:t>
            </w:r>
            <w:r>
              <w:rPr>
                <w:rFonts w:hint="eastAsia"/>
              </w:rPr>
              <w:t xml:space="preserve">除汽车库的疏散出口外，住宅部分与非住宅部分之间应采用耐火极限不低于2.00h，且无开口的防火隔墙和耐火极限不低于2.00h的不燃性楼板完全分隔。</w:t>
            </w:r>
            <w:r>
              <w:br/>
            </w:r>
          </w:p>
        </w:tc>
        <w:tc>
          <w:tcPr/>
          <w:p>
            <w:pPr>
              <w:pStyle w:val="Compact"/>
            </w:pPr>
            <w:r>
              <w:t xml:space="preserve">5.4.10 </w:t>
            </w:r>
            <w:r>
              <w:rPr>
                <w:rFonts w:hint="eastAsia"/>
              </w:rPr>
              <w:t xml:space="preserve">除商业服务网点外，住宅建筑与其他使用功能的建筑合建时，应符合下列规定：</w:t>
            </w:r>
            <w:r>
              <w:br/>
            </w:r>
            <w:r>
              <w:t xml:space="preserve">1 </w:t>
            </w:r>
            <w:r>
              <w:rPr>
                <w:rFonts w:hint="eastAsia"/>
              </w:rPr>
              <w:t xml:space="preserve">住宅部分与非住宅部分之间，应采用耐火极限不低于2.00h</w:t>
            </w:r>
            <w:r>
              <w:t xml:space="preserve"> </w:t>
            </w:r>
            <w:r>
              <w:rPr>
                <w:rFonts w:hint="eastAsia"/>
              </w:rPr>
              <w:t xml:space="preserve">且无门、窗、洞口的防火隔墙和1.50h</w:t>
            </w:r>
            <w:r>
              <w:t xml:space="preserve"> </w:t>
            </w:r>
            <w:r>
              <w:rPr>
                <w:rFonts w:hint="eastAsia"/>
              </w:rPr>
              <w:t xml:space="preserve">的不燃性楼板完全分隔；当为高层建筑时，应采用无门、窗、洞口的防火墙和耐火极限不低于2.00h</w:t>
            </w:r>
            <w:r>
              <w:t xml:space="preserve"> </w:t>
            </w:r>
            <w:r>
              <w:rPr>
                <w:rFonts w:hint="eastAsia"/>
              </w:rPr>
              <w:t xml:space="preserve">的不燃性楼板完全分隔。建筑外墙上、下层开口之间的防火措施应符合本规范第6.2.5</w:t>
            </w:r>
            <w:r>
              <w:t xml:space="preserve"> </w:t>
            </w:r>
            <w:r>
              <w:rPr>
                <w:rFonts w:hint="eastAsia"/>
              </w:rPr>
              <w:t xml:space="preserve">条的规定；</w:t>
            </w:r>
            <w:r>
              <w:br/>
            </w:r>
          </w:p>
        </w:tc>
        <w:tc>
          <w:tcPr/>
          <w:p>
            <w:pPr>
              <w:pStyle w:val="Compact"/>
            </w:pPr>
            <w:r>
              <w:rPr>
                <w:rFonts w:hint="eastAsia"/>
              </w:rPr>
              <w:t xml:space="preserve">合建建筑的住宅部分与非住宅部分之间楼板最低耐火极限统一定为2.00h，不再区分高层、非高层</w:t>
            </w:r>
            <w:r>
              <w:br/>
            </w:r>
          </w:p>
        </w:tc>
      </w:tr>
      <w:tr>
        <w:tc>
          <w:tcPr/>
          <w:p>
            <w:pPr>
              <w:pStyle w:val="Compact"/>
            </w:pPr>
            <w:r>
              <w:t xml:space="preserve">4.3.6 </w:t>
            </w:r>
            <w:r>
              <w:rPr>
                <w:rFonts w:hint="eastAsia"/>
              </w:rPr>
              <w:t xml:space="preserve">医疗建筑中住院病房的布置和分隔应符合下列规定：</w:t>
            </w:r>
            <w:r>
              <w:br/>
            </w:r>
            <w:r>
              <w:t xml:space="preserve">1 </w:t>
            </w:r>
            <w:r>
              <w:rPr>
                <w:rFonts w:hint="eastAsia"/>
              </w:rPr>
              <w:t xml:space="preserve">不应布置在地下或半地下；</w:t>
            </w:r>
            <w:r>
              <w:br/>
            </w:r>
            <w:r>
              <w:t xml:space="preserve">2 </w:t>
            </w:r>
            <w:r>
              <w:rPr>
                <w:rFonts w:hint="eastAsia"/>
              </w:rPr>
              <w:t xml:space="preserve">对于三级耐火等级建筑，应布置在首层或二层；</w:t>
            </w:r>
            <w:r>
              <w:br/>
            </w:r>
            <w:r>
              <w:t xml:space="preserve">3 </w:t>
            </w:r>
            <w:r>
              <w:rPr>
                <w:rFonts w:hint="eastAsia"/>
              </w:rPr>
              <w:t xml:space="preserve">建筑内相邻护理单元之间应采用耐火极限不低于2.00h的防火隔墙和甲级防火门分隔。</w:t>
            </w:r>
            <w:r>
              <w:br/>
            </w:r>
          </w:p>
        </w:tc>
        <w:tc>
          <w:tcPr/>
          <w:p>
            <w:pPr>
              <w:pStyle w:val="Compact"/>
            </w:pPr>
            <w:r>
              <w:t xml:space="preserve">5.4.5 </w:t>
            </w:r>
            <w:r>
              <w:rPr>
                <w:rFonts w:hint="eastAsia"/>
              </w:rPr>
              <w:t xml:space="preserve">医院和疗养院的住院部分不应设置在地下或半地下。</w:t>
            </w:r>
            <w:r>
              <w:br/>
            </w:r>
            <w:r>
              <w:rPr>
                <w:rFonts w:hint="eastAsia"/>
              </w:rPr>
              <w:t xml:space="preserve">医院和疗养院的住院部分采用三级耐火等级建筑时，不应超过2</w:t>
            </w:r>
            <w:r>
              <w:t xml:space="preserve"> </w:t>
            </w:r>
            <w:r>
              <w:rPr>
                <w:rFonts w:hint="eastAsia"/>
              </w:rPr>
              <w:t xml:space="preserve">层；采用四级耐火等级建筑时，应为单层；设置在三级耐火等级的建筑内时，应布置在首层或二层；设置在四级耐火等级的建筑内时，应布置在首层。</w:t>
            </w:r>
            <w:r>
              <w:br/>
            </w:r>
            <w:r>
              <w:rPr>
                <w:rFonts w:hint="eastAsia"/>
              </w:rPr>
              <w:t xml:space="preserve">医院和疗养院的病房楼内相邻护理单元之间应采用耐火极限不低于2.00h</w:t>
            </w:r>
            <w:r>
              <w:t xml:space="preserve"> </w:t>
            </w:r>
            <w:r>
              <w:rPr>
                <w:rFonts w:hint="eastAsia"/>
              </w:rPr>
              <w:t xml:space="preserve">的防火隔墙分隔，隔墙上的门应采用乙级防火门，设置在走道上的防火门应采用常开防火门。</w:t>
            </w:r>
            <w:r>
              <w:br/>
            </w:r>
          </w:p>
        </w:tc>
        <w:tc>
          <w:tcPr/>
          <w:p>
            <w:pPr>
              <w:pStyle w:val="Compact"/>
            </w:pPr>
            <w:r>
              <w:rPr>
                <w:rFonts w:hint="eastAsia"/>
              </w:rPr>
              <w:t xml:space="preserve">护理单元之间隔墙门由乙级防火门改为甲级防火门</w:t>
            </w:r>
          </w:p>
        </w:tc>
      </w:tr>
      <w:tr>
        <w:tc>
          <w:tcPr/>
          <w:p>
            <w:pPr>
              <w:pStyle w:val="Compact"/>
            </w:pPr>
            <w:r>
              <w:t xml:space="preserve">5.2.1 </w:t>
            </w:r>
            <w:r>
              <w:rPr>
                <w:rFonts w:hint="eastAsia"/>
              </w:rPr>
              <w:t xml:space="preserve">下列工业建筑的耐火等级应为一级：</w:t>
            </w:r>
            <w:r>
              <w:br/>
            </w:r>
            <w:r>
              <w:t xml:space="preserve">1 </w:t>
            </w:r>
            <w:r>
              <w:rPr>
                <w:rFonts w:hint="eastAsia"/>
              </w:rPr>
              <w:t xml:space="preserve">建筑高度大于50m的高层厂房；</w:t>
            </w:r>
            <w:r>
              <w:br/>
            </w:r>
            <w:r>
              <w:t xml:space="preserve">2 </w:t>
            </w:r>
            <w:r>
              <w:rPr>
                <w:rFonts w:hint="eastAsia"/>
              </w:rPr>
              <w:t xml:space="preserve">建筑高度大于32m的高层丙类仓库，储存可燃液体的多层丙类仓库，每个防火分隔间建筑面积大于3000m²的其他多层丙类仓库；</w:t>
            </w:r>
            <w:r>
              <w:br/>
            </w:r>
          </w:p>
        </w:tc>
        <w:tc>
          <w:tcPr/>
          <w:p>
            <w:pPr>
              <w:pStyle w:val="Compact"/>
            </w:pPr>
            <w:r>
              <w:t xml:space="preserve">3.2.2 </w:t>
            </w:r>
            <w:r>
              <w:rPr>
                <w:rFonts w:hint="eastAsia"/>
              </w:rPr>
              <w:t xml:space="preserve">高层厂房，甲、乙类厂房的耐火等级不应低于二级，建筑面积不大于300m2的独立甲、乙类单层厂房可采用三级耐火等级的建筑。</w:t>
            </w:r>
            <w:r>
              <w:br/>
            </w:r>
            <w:r>
              <w:t xml:space="preserve">3.2.7 </w:t>
            </w:r>
            <w:r>
              <w:rPr>
                <w:rFonts w:hint="eastAsia"/>
              </w:rPr>
              <w:t xml:space="preserve">高架仓库、高层仓库、甲类仓库、多层乙类仓库和储存可燃液体的多层丙类仓库，其耐火等级不应低于二级。</w:t>
            </w:r>
            <w:r>
              <w:br/>
            </w:r>
          </w:p>
        </w:tc>
        <w:tc>
          <w:tcPr/>
          <w:p>
            <w:pPr>
              <w:pStyle w:val="Compact"/>
            </w:pPr>
            <w:r>
              <w:rPr>
                <w:rFonts w:hint="eastAsia"/>
              </w:rPr>
              <w:t xml:space="preserve">增加了一级耐火等级的工业建筑要求</w:t>
            </w:r>
          </w:p>
        </w:tc>
      </w:tr>
      <w:tr>
        <w:tc>
          <w:tcPr/>
          <w:p>
            <w:pPr>
              <w:pStyle w:val="Compact"/>
            </w:pPr>
            <w:r>
              <w:t xml:space="preserve">5.3.2 </w:t>
            </w:r>
            <w:r>
              <w:rPr>
                <w:rFonts w:hint="eastAsia"/>
              </w:rPr>
              <w:t xml:space="preserve">下列民用建筑的耐火等级不应低于二级：</w:t>
            </w:r>
            <w:r>
              <w:br/>
            </w:r>
            <w:r>
              <w:t xml:space="preserve">1 </w:t>
            </w:r>
            <w:r>
              <w:rPr>
                <w:rFonts w:hint="eastAsia"/>
              </w:rPr>
              <w:t xml:space="preserve">二类高层民用建筑；</w:t>
            </w:r>
            <w:r>
              <w:br/>
            </w:r>
            <w:r>
              <w:t xml:space="preserve">2 </w:t>
            </w:r>
            <w:r>
              <w:rPr>
                <w:rFonts w:hint="eastAsia"/>
              </w:rPr>
              <w:t xml:space="preserve">一层和一层半式民用机场航站楼；</w:t>
            </w:r>
            <w:r>
              <w:br/>
            </w:r>
            <w:r>
              <w:t xml:space="preserve">3 </w:t>
            </w:r>
            <w:r>
              <w:rPr>
                <w:rFonts w:hint="eastAsia"/>
              </w:rPr>
              <w:t xml:space="preserve">总建筑面积大于1500m²的单、多层人员密集场所；</w:t>
            </w:r>
            <w:r>
              <w:br/>
            </w:r>
          </w:p>
        </w:tc>
        <w:tc>
          <w:tcPr/>
          <w:p>
            <w:pPr>
              <w:pStyle w:val="Compact"/>
            </w:pPr>
            <w:r>
              <w:rPr>
                <w:rFonts w:hint="eastAsia"/>
              </w:rPr>
              <w:t xml:space="preserve">5.1.3民用建筑的耐火等级应根据其建筑高度、使用功能、重要性和火灾扑救难度等确定，并应符合下列规定：</w:t>
            </w:r>
            <w:r>
              <w:br/>
            </w:r>
            <w:r>
              <w:t xml:space="preserve">1 </w:t>
            </w:r>
            <w:r>
              <w:rPr>
                <w:rFonts w:hint="eastAsia"/>
              </w:rPr>
              <w:t xml:space="preserve">地下或半地下建筑（室）和一类高层建筑的耐火等级不应低于一级；</w:t>
            </w:r>
            <w:r>
              <w:br/>
            </w:r>
            <w:r>
              <w:t xml:space="preserve">2 </w:t>
            </w:r>
            <w:r>
              <w:rPr>
                <w:rFonts w:hint="eastAsia"/>
              </w:rPr>
              <w:t xml:space="preserve">单、多层重要公共建筑和二类高层建筑的耐火等级不应低于二级。</w:t>
            </w:r>
            <w:r>
              <w:br/>
            </w:r>
          </w:p>
        </w:tc>
        <w:tc>
          <w:tcPr/>
          <w:p>
            <w:pPr>
              <w:pStyle w:val="Compact"/>
            </w:pPr>
            <w:r>
              <w:rPr>
                <w:rFonts w:hint="eastAsia"/>
              </w:rPr>
              <w:t xml:space="preserve">“重要公共建筑”改为“人员密集场所”</w:t>
            </w:r>
            <w:r>
              <w:br/>
            </w:r>
          </w:p>
        </w:tc>
      </w:tr>
      <w:tr>
        <w:tc>
          <w:tcPr/>
          <w:p>
            <w:pPr>
              <w:pStyle w:val="Compact"/>
            </w:pPr>
            <w:r>
              <w:t xml:space="preserve">5.3.3 </w:t>
            </w:r>
            <w:r>
              <w:rPr>
                <w:rFonts w:hint="eastAsia"/>
              </w:rPr>
              <w:t xml:space="preserve">除本规范第5.3.1条、第5.3.2条规定的建筑外，下列民用建筑的耐火等级不应低于三级：</w:t>
            </w:r>
            <w:r>
              <w:br/>
            </w:r>
            <w:r>
              <w:t xml:space="preserve">1 </w:t>
            </w:r>
            <w:r>
              <w:rPr>
                <w:rFonts w:hint="eastAsia"/>
              </w:rPr>
              <w:t xml:space="preserve">城市和镇中心区内的民用建筑；</w:t>
            </w:r>
            <w:r>
              <w:br/>
            </w:r>
            <w:r>
              <w:t xml:space="preserve">2 </w:t>
            </w:r>
            <w:r>
              <w:rPr>
                <w:rFonts w:hint="eastAsia"/>
              </w:rPr>
              <w:t xml:space="preserve">老年人照料设施、教学建筑、医疗建筑。</w:t>
            </w:r>
            <w:r>
              <w:br/>
            </w:r>
          </w:p>
        </w:tc>
        <w:tc>
          <w:tcPr/>
          <w:p>
            <w:pPr>
              <w:pStyle w:val="Compact"/>
            </w:pPr>
            <w:r>
              <w:t xml:space="preserve">5.1.3A </w:t>
            </w:r>
            <w:r>
              <w:rPr>
                <w:rFonts w:hint="eastAsia"/>
              </w:rPr>
              <w:t xml:space="preserve">除木结构建筑外，老年人照料设施的耐火等级不应低于三级。</w:t>
            </w:r>
            <w:r>
              <w:br/>
            </w:r>
          </w:p>
        </w:tc>
        <w:tc>
          <w:tcPr/>
          <w:p>
            <w:pPr>
              <w:pStyle w:val="Compact"/>
            </w:pPr>
            <w:r>
              <w:rPr>
                <w:rFonts w:hint="eastAsia"/>
              </w:rPr>
              <w:t xml:space="preserve">城市和镇中心区内的民用建筑、教学建筑、医疗建筑的最低耐火等级提高为三级</w:t>
            </w:r>
          </w:p>
        </w:tc>
      </w:tr>
      <w:tr>
        <w:tc>
          <w:tcPr/>
          <w:p>
            <w:pPr>
              <w:pStyle w:val="Compact"/>
            </w:pPr>
            <w:r>
              <w:t xml:space="preserve">6.4.3 </w:t>
            </w:r>
            <w:r>
              <w:rPr>
                <w:rFonts w:hint="eastAsia"/>
              </w:rPr>
              <w:t xml:space="preserve">除建筑直通室外和屋面的门可采用普通门外，下列部位的门的耐火性能不应低于乙级防火门的要求，且其中建筑高度大于100m的建筑相应部位的门应为甲级防火门：</w:t>
            </w:r>
            <w:r>
              <w:br/>
            </w:r>
            <w:r>
              <w:t xml:space="preserve">1 </w:t>
            </w:r>
            <w:r>
              <w:rPr>
                <w:rFonts w:hint="eastAsia"/>
              </w:rPr>
              <w:t xml:space="preserve">甲、乙类厂房，多层丙类厂房，人员密集的公共建筑和其他高层工业与民用建筑中封闭楼梯间的门；</w:t>
            </w:r>
            <w:r>
              <w:br/>
            </w:r>
            <w:r>
              <w:t xml:space="preserve">2 </w:t>
            </w:r>
            <w:r>
              <w:rPr>
                <w:rFonts w:hint="eastAsia"/>
              </w:rPr>
              <w:t xml:space="preserve">防烟楼梯间及其前室的门；</w:t>
            </w:r>
            <w:r>
              <w:br/>
            </w:r>
            <w:r>
              <w:t xml:space="preserve">3 </w:t>
            </w:r>
            <w:r>
              <w:rPr>
                <w:rFonts w:hint="eastAsia"/>
              </w:rPr>
              <w:t xml:space="preserve">消防电梯前室或合用前室的门；</w:t>
            </w:r>
            <w:r>
              <w:br/>
            </w:r>
            <w:r>
              <w:t xml:space="preserve">4 </w:t>
            </w:r>
            <w:r>
              <w:rPr>
                <w:rFonts w:hint="eastAsia"/>
              </w:rPr>
              <w:t xml:space="preserve">前室开向避难走道的门；</w:t>
            </w:r>
            <w:r>
              <w:br/>
            </w:r>
            <w:r>
              <w:t xml:space="preserve">5 </w:t>
            </w:r>
            <w:r>
              <w:rPr>
                <w:rFonts w:hint="eastAsia"/>
              </w:rPr>
              <w:t xml:space="preserve">地下、半地下及多、高层丁类仓库中从库房通向疏散走道或疏散楼梯的门；</w:t>
            </w:r>
            <w:r>
              <w:br/>
            </w:r>
            <w:r>
              <w:t xml:space="preserve">6 </w:t>
            </w:r>
            <w:r>
              <w:rPr>
                <w:rFonts w:hint="eastAsia"/>
              </w:rPr>
              <w:t xml:space="preserve">歌舞娱乐放映游艺场所中的房间疏散门；</w:t>
            </w:r>
            <w:r>
              <w:br/>
            </w:r>
            <w:r>
              <w:t xml:space="preserve">7 </w:t>
            </w:r>
            <w:r>
              <w:rPr>
                <w:rFonts w:hint="eastAsia"/>
              </w:rPr>
              <w:t xml:space="preserve">从室内通向室外疏散楼梯的疏散门；</w:t>
            </w:r>
            <w:r>
              <w:br/>
            </w:r>
            <w:r>
              <w:t xml:space="preserve">8 </w:t>
            </w:r>
            <w:r>
              <w:rPr>
                <w:rFonts w:hint="eastAsia"/>
              </w:rPr>
              <w:t xml:space="preserve">设置在耐火极限要求不低于2.00h的防火隔墙上的门。</w:t>
            </w:r>
            <w:r>
              <w:br/>
            </w:r>
          </w:p>
        </w:tc>
        <w:tc>
          <w:tcPr/>
          <w:p>
            <w:pPr>
              <w:pStyle w:val="Compact"/>
            </w:pPr>
            <w:r>
              <w:t xml:space="preserve">6.4.2 </w:t>
            </w:r>
            <w:r>
              <w:rPr>
                <w:rFonts w:hint="eastAsia"/>
              </w:rPr>
              <w:t xml:space="preserve">封闭楼梯间除应符合本规范第6.4.1</w:t>
            </w:r>
            <w:r>
              <w:t xml:space="preserve"> </w:t>
            </w:r>
            <w:r>
              <w:rPr>
                <w:rFonts w:hint="eastAsia"/>
              </w:rPr>
              <w:t xml:space="preserve">条的规定外，尚应符合下列规定：</w:t>
            </w:r>
            <w:r>
              <w:br/>
            </w:r>
            <w:r>
              <w:t xml:space="preserve">3 </w:t>
            </w:r>
            <w:r>
              <w:rPr>
                <w:rFonts w:hint="eastAsia"/>
              </w:rPr>
              <w:t xml:space="preserve">高层建筑、人员密集的公共建筑、人员密集的多层丙类厂房、甲、乙类厂房，其封闭楼梯间的门应采用乙级防火门，并应向疏散方向开启；其他建筑，可采用双向弹簧门；</w:t>
            </w:r>
            <w:r>
              <w:br/>
            </w:r>
            <w:r>
              <w:t xml:space="preserve">6.4.3 </w:t>
            </w:r>
            <w:r>
              <w:rPr>
                <w:rFonts w:hint="eastAsia"/>
              </w:rPr>
              <w:t xml:space="preserve">防烟楼梯间除应符合本规范第6.4.1</w:t>
            </w:r>
            <w:r>
              <w:t xml:space="preserve"> </w:t>
            </w:r>
            <w:r>
              <w:rPr>
                <w:rFonts w:hint="eastAsia"/>
              </w:rPr>
              <w:t xml:space="preserve">条的规定外，尚应符合下列规定：</w:t>
            </w:r>
            <w:r>
              <w:br/>
            </w:r>
            <w:r>
              <w:t xml:space="preserve">4 </w:t>
            </w:r>
            <w:r>
              <w:rPr>
                <w:rFonts w:hint="eastAsia"/>
              </w:rPr>
              <w:t xml:space="preserve">疏散走道通向前室以及前室通向楼梯间的门应采用乙级防火门；</w:t>
            </w:r>
            <w:r>
              <w:br/>
            </w:r>
            <w:r>
              <w:t xml:space="preserve">6.4.5 </w:t>
            </w:r>
            <w:r>
              <w:rPr>
                <w:rFonts w:hint="eastAsia"/>
              </w:rPr>
              <w:t xml:space="preserve">室外疏散楼梯应符合下列规定：</w:t>
            </w:r>
            <w:r>
              <w:br/>
            </w:r>
            <w:r>
              <w:t xml:space="preserve">4 </w:t>
            </w:r>
            <w:r>
              <w:rPr>
                <w:rFonts w:hint="eastAsia"/>
              </w:rPr>
              <w:t xml:space="preserve">通向室外楼梯的门应采用乙级防火门，并应向外开启；</w:t>
            </w:r>
            <w:r>
              <w:br/>
            </w:r>
          </w:p>
        </w:tc>
        <w:tc>
          <w:tcPr/>
          <w:p>
            <w:pPr>
              <w:pStyle w:val="Compact"/>
            </w:pPr>
            <w:r>
              <w:rPr>
                <w:rFonts w:hint="eastAsia"/>
              </w:rPr>
              <w:t xml:space="preserve">原最低要求乙级防火门的情形，在超高层建筑中统一提高为甲级防火门。</w:t>
            </w:r>
            <w:r>
              <w:br/>
            </w:r>
            <w:r>
              <w:rPr>
                <w:rFonts w:hint="eastAsia"/>
              </w:rPr>
              <w:t xml:space="preserve">增加了乙级防火门设置场景要求:所有多层丙类厂房、歌舞娱乐场所房间疏散门、设置在耐火极限要求不低于2.00h的防火隔墙上的门。</w:t>
            </w:r>
            <w:r>
              <w:br/>
            </w:r>
          </w:p>
        </w:tc>
      </w:tr>
      <w:tr>
        <w:tc>
          <w:tcPr/>
          <w:p>
            <w:pPr>
              <w:pStyle w:val="Compact"/>
            </w:pPr>
            <w:r>
              <w:t xml:space="preserve">6.4.4 </w:t>
            </w:r>
            <w:r>
              <w:rPr>
                <w:rFonts w:hint="eastAsia"/>
              </w:rPr>
              <w:t xml:space="preserve">电气竖井、管道井、排烟道、排气道、垃圾道等竖井井壁上的检查门，应符合下列规定：</w:t>
            </w:r>
            <w:r>
              <w:br/>
            </w:r>
            <w:r>
              <w:t xml:space="preserve">1 </w:t>
            </w:r>
            <w:r>
              <w:rPr>
                <w:rFonts w:hint="eastAsia"/>
              </w:rPr>
              <w:t xml:space="preserve">对于埋深大于10m的地下建筑或地下工程，应为甲级防火门；</w:t>
            </w:r>
            <w:r>
              <w:br/>
            </w:r>
            <w:r>
              <w:t xml:space="preserve">2 </w:t>
            </w:r>
            <w:r>
              <w:rPr>
                <w:rFonts w:hint="eastAsia"/>
              </w:rPr>
              <w:t xml:space="preserve">对于建筑高度大于100m的建筑，应为甲级防火门；</w:t>
            </w:r>
            <w:r>
              <w:br/>
            </w:r>
            <w:r>
              <w:t xml:space="preserve">3 </w:t>
            </w:r>
            <w:r>
              <w:rPr>
                <w:rFonts w:hint="eastAsia"/>
              </w:rPr>
              <w:t xml:space="preserve">对于层间无防火分隔的竖井和住宅建筑的合用前室，门的耐火性能不应低于乙级防火门的要求；</w:t>
            </w:r>
            <w:r>
              <w:br/>
            </w:r>
            <w:r>
              <w:t xml:space="preserve">4 </w:t>
            </w:r>
            <w:r>
              <w:rPr>
                <w:rFonts w:hint="eastAsia"/>
              </w:rPr>
              <w:t xml:space="preserve">对于其他建筑，门的耐火性能不应低于丙级防火门的要求，当竖井在楼层处无水平防火分隔时，门的耐火性能不应低于乙级防火门的要求。</w:t>
            </w:r>
            <w:r>
              <w:br/>
            </w:r>
          </w:p>
        </w:tc>
        <w:tc>
          <w:tcPr/>
          <w:p>
            <w:pPr>
              <w:pStyle w:val="Compact"/>
            </w:pPr>
            <w:r>
              <w:t xml:space="preserve">6.2.9 </w:t>
            </w:r>
            <w:r>
              <w:rPr>
                <w:rFonts w:hint="eastAsia"/>
              </w:rPr>
              <w:t xml:space="preserve">建筑内的电梯井等竖井应符合下列规定：</w:t>
            </w:r>
            <w:r>
              <w:br/>
            </w:r>
            <w:r>
              <w:t xml:space="preserve">1 </w:t>
            </w:r>
            <w:r>
              <w:rPr>
                <w:rFonts w:hint="eastAsia"/>
              </w:rPr>
              <w:t xml:space="preserve">电梯井应独立设置，井内严禁敷设可燃气体和甲、乙、丙类液体管道，不应敷设与电梯无关的电缆、电线等。电梯井的井壁除设置电梯门、安全逃生门和通气孔洞外，不应设置其他开口；</w:t>
            </w:r>
            <w:r>
              <w:br/>
            </w:r>
            <w:r>
              <w:t xml:space="preserve">2 </w:t>
            </w:r>
            <w:r>
              <w:rPr>
                <w:rFonts w:hint="eastAsia"/>
              </w:rPr>
              <w:t xml:space="preserve">电缆井、管道井、排烟道、排气道、垃圾道等竖向井道，应分别独立设置。井壁的耐火极限不应低于1.00h，井壁上的检查门应采用丙级防火门；</w:t>
            </w:r>
            <w:r>
              <w:br/>
            </w:r>
          </w:p>
        </w:tc>
        <w:tc>
          <w:tcPr/>
          <w:p>
            <w:pPr>
              <w:pStyle w:val="Compact"/>
            </w:pPr>
            <w:r>
              <w:rPr>
                <w:rFonts w:hint="eastAsia"/>
              </w:rPr>
              <w:t xml:space="preserve">井壁上的检查门,原只规定了丙级防火门要求，新标增加了乙级防火门、甲级防火门的情形</w:t>
            </w:r>
            <w:r>
              <w:br/>
            </w:r>
          </w:p>
        </w:tc>
      </w:tr>
      <w:tr>
        <w:tc>
          <w:tcPr/>
          <w:p>
            <w:pPr>
              <w:pStyle w:val="Compact"/>
            </w:pPr>
            <w:r>
              <w:t xml:space="preserve">7.1.4 </w:t>
            </w:r>
            <w:r>
              <w:rPr>
                <w:rFonts w:hint="eastAsia"/>
              </w:rPr>
              <w:t xml:space="preserve">疏散出口门、疏散走道、疏散楼梯等的净宽度应符合下列规定：</w:t>
            </w:r>
            <w:r>
              <w:br/>
            </w:r>
            <w:r>
              <w:t xml:space="preserve">1 </w:t>
            </w:r>
            <w:r>
              <w:rPr>
                <w:rFonts w:hint="eastAsia"/>
              </w:rPr>
              <w:t xml:space="preserve">疏散出口门、室外疏散楼梯的净宽度均不应小于0.80m；</w:t>
            </w:r>
            <w:r>
              <w:br/>
            </w:r>
            <w:r>
              <w:t xml:space="preserve">2 </w:t>
            </w:r>
            <w:r>
              <w:rPr>
                <w:rFonts w:hint="eastAsia"/>
              </w:rPr>
              <w:t xml:space="preserve">住宅建筑中直通室外地面的住宅户门的净宽度不应小于0.80m，当住宅建筑高度不大于18m且一边设置栏杆时，室内疏散楼梯的净宽度不应小于1.0m，其他住宅建筑室内疏散楼梯的净宽度不应小于1.1m；</w:t>
            </w:r>
            <w:r>
              <w:br/>
            </w:r>
            <w:r>
              <w:t xml:space="preserve">7.1.5 </w:t>
            </w:r>
            <w:r>
              <w:rPr>
                <w:rFonts w:hint="eastAsia"/>
              </w:rPr>
              <w:t xml:space="preserve">在疏散通道、疏散走道、疏散出口处，不应有任何影响人员疏散的物体，并应在疏散通道、疏散走道、疏散出口的明显位置设置明显的指示标志。疏散通道、疏散走道、疏散出口的净高度均不应小于2.1m。疏散走道在防火分区分隔处应设置疏散门。</w:t>
            </w:r>
            <w:r>
              <w:br/>
            </w:r>
          </w:p>
        </w:tc>
        <w:tc>
          <w:tcPr/>
          <w:p>
            <w:pPr>
              <w:pStyle w:val="Compact"/>
            </w:pPr>
            <w:r>
              <w:t xml:space="preserve">5.5.18 </w:t>
            </w:r>
            <w:r>
              <w:rPr>
                <w:rFonts w:hint="eastAsia"/>
              </w:rPr>
              <w:t xml:space="preserve">除本规范另有规定外，公共建筑内疏散门和安全出口的净宽度不应小于0.90m，疏散走道和疏散楼梯的净宽度不应小于1.10m。</w:t>
            </w:r>
            <w:r>
              <w:br/>
            </w:r>
            <w:r>
              <w:t xml:space="preserve">5.5.30 </w:t>
            </w:r>
            <w:r>
              <w:rPr>
                <w:rFonts w:hint="eastAsia"/>
              </w:rPr>
              <w:t xml:space="preserve">住宅建筑的户门、安全出口、疏散走道和疏散楼梯的各自总净宽度应经计算确定，且户门和安全出口的净宽度不应小于0.90m，疏散走道、疏散楼梯和首层疏散外门的净宽度不应小于1.10m。建筑高度不大于18m</w:t>
            </w:r>
            <w:r>
              <w:t xml:space="preserve"> </w:t>
            </w:r>
            <w:r>
              <w:rPr>
                <w:rFonts w:hint="eastAsia"/>
              </w:rPr>
              <w:t xml:space="preserve">的住宅中一边设置栏杆的疏散楼梯，其净宽度不应小于1.0m。</w:t>
            </w:r>
            <w:r>
              <w:br/>
            </w:r>
          </w:p>
        </w:tc>
        <w:tc>
          <w:tcPr/>
          <w:p>
            <w:pPr>
              <w:pStyle w:val="Compact"/>
            </w:pPr>
            <w:r>
              <w:rPr>
                <w:rFonts w:hint="eastAsia"/>
              </w:rPr>
              <w:t xml:space="preserve">疏散出口门、室外疏散楼梯的净宽度、住宅建筑中直通室外地面的住宅户门的最小净宽度，放低至不应小于0.80m</w:t>
            </w:r>
            <w:r>
              <w:br/>
            </w:r>
            <w:r>
              <w:rPr>
                <w:rFonts w:hint="eastAsia"/>
              </w:rPr>
              <w:t xml:space="preserve">增加了疏散通道、疏散走道、疏散出口的净高度均不应小于2.1m的要求</w:t>
            </w:r>
            <w:r>
              <w:br/>
            </w:r>
          </w:p>
        </w:tc>
      </w:tr>
    </w:tbl>
    <w:sectPr w:rsidR="00E1645B" w:rsidSect="004A5F37">
      <w:footerReference r:id="rId9" w:type="default"/>
      <w:pgSz w:code="9" w:h="16838" w:w="11906"/>
      <w:pgMar w:bottom="1440" w:footer="720" w:gutter="0" w:header="720" w:left="1800" w:right="1800" w:top="1440"/>
      <w:cols w:space="720"/>
      <w:docGrid w:linePitch="3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微软雅黑">
    <w:panose1 w:val="020B0503020204020204"/>
    <w:charset w:val="86"/>
    <w:family w:val="swiss"/>
    <w:pitch w:val="variable"/>
    <w:sig w:usb0="80000287" w:usb1="28CF3C50" w:usb2="00000016" w:usb3="00000000" w:csb0="0004001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
    <w:altName w:val="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Fira Code">
    <w:altName w:val="DejaVu Sans Condensed"/>
    <w:charset w:val="00"/>
    <w:family w:val="auto"/>
    <w:pitch w:val="fixed"/>
    <w:sig w:usb0="00000001" w:usb1="1201F9FB" w:usb2="02002038" w:usb3="00000000" w:csb0="0000009F" w:csb1="00000000"/>
  </w:font>
  <w:font w:name="Times New Roman (正文 CS 字体)">
    <w:altName w:val="宋体"/>
    <w:panose1 w:val="00000000000000000000"/>
    <w:charset w:val="86"/>
    <w:family w:val="roman"/>
    <w:notTrueType/>
    <w:pitch w:val="default"/>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3818139"/>
      <w:docPartObj>
        <w:docPartGallery w:val="Page Numbers (Bottom of Page)"/>
        <w:docPartUnique/>
      </w:docPartObj>
    </w:sdtPr>
    <w:sdtEndPr/>
    <w:sdtContent>
      <w:p w14:paraId="542A371B" w14:textId="77777777" w:rsidR="00E1645B" w:rsidRDefault="009013F6">
        <w:pPr>
          <w:pStyle w:val="ae"/>
          <w:jc w:val="center"/>
        </w:pPr>
        <w:r>
          <w:fldChar w:fldCharType="begin"/>
        </w:r>
        <w:r>
          <w:instrText>PAGE   \* MERGEFORMAT</w:instrText>
        </w:r>
        <w:r>
          <w:fldChar w:fldCharType="separate"/>
        </w:r>
        <w:r w:rsidR="00350D07" w:rsidRPr="00350D07">
          <w:rPr>
            <w:noProof/>
            <w:lang w:val="zh-CN" w:eastAsia="zh-CN"/>
          </w:rPr>
          <w:t>4</w:t>
        </w:r>
        <w:r>
          <w:fldChar w:fldCharType="end"/>
        </w:r>
      </w:p>
    </w:sdtContent>
  </w:sdt>
  <w:p w14:paraId="7290EB49" w14:textId="77777777" w:rsidR="00E1645B" w:rsidRDefault="00E1645B">
    <w:pPr>
      <w:pStyle w:val="ae"/>
    </w:pPr>
  </w:p>
</w:ftr>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abstractNum w:abstractNumId="0">
    <w:nsid w:val="0000A990"/>
    <w:multiLevelType w:val="multilevel"/>
    <w:tmpl w:val="F7DE9768"/>
    <w:lvl w:ilvl="0">
      <w:numFmt w:val="bullet"/>
      <w:lvlText w:val=" "/>
      <w:lvlJc w:val="left"/>
      <w:pPr>
        <w:ind w:hanging="480" w:left="720"/>
      </w:pPr>
    </w:lvl>
    <w:lvl w:ilvl="1">
      <w:numFmt w:val="bullet"/>
      <w:lvlText w:val=" "/>
      <w:lvlJc w:val="left"/>
      <w:pPr>
        <w:ind w:hanging="480" w:left="1440"/>
      </w:pPr>
    </w:lvl>
    <w:lvl w:ilvl="2">
      <w:numFmt w:val="bullet"/>
      <w:lvlText w:val=" "/>
      <w:lvlJc w:val="left"/>
      <w:pPr>
        <w:ind w:hanging="480" w:left="2160"/>
      </w:pPr>
    </w:lvl>
    <w:lvl w:ilvl="3">
      <w:numFmt w:val="bullet"/>
      <w:lvlText w:val=" "/>
      <w:lvlJc w:val="left"/>
      <w:pPr>
        <w:ind w:hanging="480" w:left="2880"/>
      </w:pPr>
    </w:lvl>
    <w:lvl w:ilvl="4">
      <w:numFmt w:val="bullet"/>
      <w:lvlText w:val=" "/>
      <w:lvlJc w:val="left"/>
      <w:pPr>
        <w:ind w:hanging="480" w:left="3600"/>
      </w:pPr>
    </w:lvl>
    <w:lvl w:ilvl="5">
      <w:numFmt w:val="bullet"/>
      <w:lvlText w:val=" "/>
      <w:lvlJc w:val="left"/>
      <w:pPr>
        <w:ind w:hanging="480" w:left="4320"/>
      </w:pPr>
    </w:lvl>
    <w:lvl w:ilvl="6">
      <w:numFmt w:val="bullet"/>
      <w:lvlText w:val=" "/>
      <w:lvlJc w:val="left"/>
      <w:pPr>
        <w:ind w:hanging="480" w:left="5040"/>
      </w:pPr>
    </w:lvl>
    <w:lvl w:ilvl="7">
      <w:numFmt w:val="bullet"/>
      <w:lvlText w:val=" "/>
      <w:lvlJc w:val="left"/>
      <w:pPr>
        <w:ind w:hanging="480" w:left="5760"/>
      </w:pPr>
    </w:lvl>
    <w:lvl w:ilvl="8">
      <w:numFmt w:val="bullet"/>
      <w:lvlText w:val=" "/>
      <w:lvlJc w:val="left"/>
      <w:pPr>
        <w:ind w:hanging="480" w:left="6480"/>
      </w:pPr>
    </w:lvl>
  </w:abstractNum>
  <w:abstractNum w:abstractNumId="1">
    <w:nsid w:val="0000A991"/>
    <w:multiLevelType w:val="multilevel"/>
    <w:tmpl w:val="2C12F872"/>
    <w:lvl w:ilvl="0">
      <w:numFmt w:val="bullet"/>
      <w:suff w:val="space"/>
      <w:lvlText w:val="•"/>
      <w:lvlJc w:val="left"/>
      <w:pPr>
        <w:ind w:firstLine="567" w:left="0"/>
      </w:pPr>
      <w:rPr>
        <w:rFonts w:ascii="微软雅黑" w:eastAsia="微软雅黑" w:hAnsi="微软雅黑" w:hint="eastAsia"/>
        <w:sz w:val="28"/>
      </w:rPr>
    </w:lvl>
    <w:lvl w:ilvl="1">
      <w:numFmt w:val="bullet"/>
      <w:suff w:val="space"/>
      <w:lvlText w:val=""/>
      <w:lvlJc w:val="left"/>
      <w:pPr>
        <w:ind w:firstLine="567" w:left="567"/>
      </w:pPr>
      <w:rPr>
        <w:rFonts w:ascii="Wingdings" w:hAnsi="Wingdings" w:hint="default"/>
        <w:sz w:val="28"/>
      </w:rPr>
    </w:lvl>
    <w:lvl w:ilvl="2">
      <w:numFmt w:val="bullet"/>
      <w:suff w:val="space"/>
      <w:lvlText w:val=""/>
      <w:lvlJc w:val="left"/>
      <w:pPr>
        <w:ind w:firstLine="567" w:left="1134"/>
      </w:pPr>
      <w:rPr>
        <w:rFonts w:ascii="Wingdings" w:hAnsi="Wingdings" w:hint="default"/>
        <w:sz w:val="28"/>
      </w:rPr>
    </w:lvl>
    <w:lvl w:ilvl="3">
      <w:numFmt w:val="bullet"/>
      <w:suff w:val="space"/>
      <w:lvlText w:val="•"/>
      <w:lvlJc w:val="left"/>
      <w:pPr>
        <w:ind w:firstLine="567" w:left="1701"/>
      </w:pPr>
      <w:rPr>
        <w:rFonts w:ascii="微软雅黑" w:eastAsia="微软雅黑" w:hAnsi="微软雅黑" w:hint="eastAsia"/>
        <w:sz w:val="28"/>
      </w:rPr>
    </w:lvl>
    <w:lvl w:ilvl="4">
      <w:numFmt w:val="bullet"/>
      <w:suff w:val="space"/>
      <w:lvlText w:val="•"/>
      <w:lvlJc w:val="left"/>
      <w:pPr>
        <w:ind w:firstLine="567" w:left="2268"/>
      </w:pPr>
      <w:rPr>
        <w:rFonts w:ascii="微软雅黑" w:eastAsia="微软雅黑" w:hAnsi="微软雅黑" w:hint="eastAsia"/>
        <w:sz w:val="28"/>
      </w:rPr>
    </w:lvl>
    <w:lvl w:ilvl="5">
      <w:numFmt w:val="bullet"/>
      <w:suff w:val="space"/>
      <w:lvlText w:val="•"/>
      <w:lvlJc w:val="left"/>
      <w:pPr>
        <w:ind w:firstLine="567" w:left="2835"/>
      </w:pPr>
      <w:rPr>
        <w:rFonts w:hint="eastAsia"/>
        <w:sz w:val="28"/>
      </w:rPr>
    </w:lvl>
    <w:lvl w:ilvl="6">
      <w:numFmt w:val="bullet"/>
      <w:suff w:val="space"/>
      <w:lvlText w:val="•"/>
      <w:lvlJc w:val="left"/>
      <w:pPr>
        <w:ind w:firstLine="567" w:left="3402"/>
      </w:pPr>
      <w:rPr>
        <w:rFonts w:hint="eastAsia"/>
        <w:sz w:val="28"/>
      </w:rPr>
    </w:lvl>
    <w:lvl w:ilvl="7">
      <w:numFmt w:val="bullet"/>
      <w:suff w:val="space"/>
      <w:lvlText w:val="•"/>
      <w:lvlJc w:val="left"/>
      <w:pPr>
        <w:ind w:firstLine="567" w:left="3969"/>
      </w:pPr>
      <w:rPr>
        <w:rFonts w:hint="eastAsia"/>
        <w:sz w:val="28"/>
      </w:rPr>
    </w:lvl>
    <w:lvl w:ilvl="8">
      <w:numFmt w:val="bullet"/>
      <w:suff w:val="space"/>
      <w:lvlText w:val="•"/>
      <w:lvlJc w:val="left"/>
      <w:pPr>
        <w:ind w:firstLine="567" w:left="4536"/>
      </w:pPr>
      <w:rPr>
        <w:rFonts w:hint="eastAsia"/>
        <w:sz w:val="28"/>
      </w:rPr>
    </w:lvl>
  </w:abstractNum>
  <w:abstractNum w:abstractNumId="2">
    <w:nsid w:val="00A99201"/>
    <w:multiLevelType w:val="multilevel"/>
    <w:tmpl w:val="276A81A2"/>
    <w:lvl w:ilvl="0">
      <w:start w:val="1"/>
      <w:numFmt w:val="decimal"/>
      <w:suff w:val="space"/>
      <w:lvlText w:val="%1."/>
      <w:lvlJc w:val="right"/>
      <w:pPr>
        <w:ind w:firstLine="851" w:left="0"/>
      </w:pPr>
      <w:rPr>
        <w:rFonts w:hint="eastAsia"/>
      </w:rPr>
    </w:lvl>
    <w:lvl w:ilvl="1">
      <w:start w:val="1"/>
      <w:numFmt w:val="decimal"/>
      <w:suff w:val="space"/>
      <w:lvlText w:val="%2)"/>
      <w:lvlJc w:val="right"/>
      <w:pPr>
        <w:ind w:firstLine="851" w:left="567"/>
      </w:pPr>
      <w:rPr>
        <w:rFonts w:hint="eastAsia"/>
      </w:rPr>
    </w:lvl>
    <w:lvl w:ilvl="2">
      <w:start w:val="1"/>
      <w:numFmt w:val="upperLetter"/>
      <w:suff w:val="space"/>
      <w:lvlText w:val="%3."/>
      <w:lvlJc w:val="right"/>
      <w:pPr>
        <w:ind w:firstLine="851" w:left="1134"/>
      </w:pPr>
      <w:rPr>
        <w:rFonts w:hint="eastAsia"/>
      </w:rPr>
    </w:lvl>
    <w:lvl w:ilvl="3">
      <w:start w:val="1"/>
      <w:numFmt w:val="lowerLetter"/>
      <w:suff w:val="space"/>
      <w:lvlText w:val="%4."/>
      <w:lvlJc w:val="right"/>
      <w:pPr>
        <w:ind w:firstLine="851" w:left="1701"/>
      </w:pPr>
      <w:rPr>
        <w:rFonts w:hint="eastAsia"/>
      </w:rPr>
    </w:lvl>
    <w:lvl w:ilvl="4">
      <w:start w:val="1"/>
      <w:numFmt w:val="decimal"/>
      <w:suff w:val="space"/>
      <w:lvlText w:val="%5."/>
      <w:lvlJc w:val="right"/>
      <w:pPr>
        <w:ind w:firstLine="851" w:left="2268"/>
      </w:pPr>
      <w:rPr>
        <w:rFonts w:hint="eastAsia"/>
      </w:rPr>
    </w:lvl>
    <w:lvl w:ilvl="5">
      <w:start w:val="1"/>
      <w:numFmt w:val="decimal"/>
      <w:suff w:val="space"/>
      <w:lvlText w:val="%6)"/>
      <w:lvlJc w:val="right"/>
      <w:pPr>
        <w:ind w:firstLine="851" w:left="2835"/>
      </w:pPr>
      <w:rPr>
        <w:rFonts w:hint="eastAsia"/>
      </w:rPr>
    </w:lvl>
    <w:lvl w:ilvl="6">
      <w:start w:val="1"/>
      <w:numFmt w:val="upperLetter"/>
      <w:suff w:val="space"/>
      <w:lvlText w:val="%7."/>
      <w:lvlJc w:val="right"/>
      <w:pPr>
        <w:ind w:firstLine="851" w:left="3402"/>
      </w:pPr>
      <w:rPr>
        <w:rFonts w:hint="eastAsia"/>
      </w:rPr>
    </w:lvl>
    <w:lvl w:ilvl="7">
      <w:start w:val="1"/>
      <w:numFmt w:val="lowerLetter"/>
      <w:suff w:val="space"/>
      <w:lvlText w:val="%8."/>
      <w:lvlJc w:val="right"/>
      <w:pPr>
        <w:ind w:firstLine="851" w:left="3969"/>
      </w:pPr>
      <w:rPr>
        <w:rFonts w:hint="eastAsia"/>
      </w:rPr>
    </w:lvl>
    <w:lvl w:ilvl="8">
      <w:start w:val="1"/>
      <w:numFmt w:val="lowerRoman"/>
      <w:suff w:val="space"/>
      <w:lvlText w:val="%9."/>
      <w:lvlJc w:val="right"/>
      <w:pPr>
        <w:ind w:firstLine="851" w:left="4536"/>
      </w:pPr>
      <w:rPr>
        <w:rFonts w:hint="eastAsia"/>
      </w:rPr>
    </w:lvl>
  </w:abstractNum>
  <w:abstractNum w:abstractNumId="3">
    <w:nsid w:val="2BC278D3"/>
    <w:multiLevelType w:val="multilevel"/>
    <w:tmpl w:val="5262CB2E"/>
    <w:styleLink w:val="1"/>
    <w:lvl w:ilvl="0">
      <w:numFmt w:val="bullet"/>
      <w:lvlText w:val="•"/>
      <w:lvlJc w:val="left"/>
      <w:pPr>
        <w:ind w:hanging="480" w:left="720"/>
      </w:pPr>
      <w:rPr>
        <w:rFonts w:ascii="微软雅黑" w:eastAsia="微软雅黑" w:hAnsi="微软雅黑" w:hint="eastAsia"/>
        <w:sz w:val="28"/>
      </w:rPr>
    </w:lvl>
    <w:lvl w:ilvl="1">
      <w:numFmt w:val="bullet"/>
      <w:lvlText w:val=""/>
      <w:lvlJc w:val="left"/>
      <w:pPr>
        <w:ind w:hanging="480" w:left="1440"/>
      </w:pPr>
      <w:rPr>
        <w:rFonts w:ascii="Wingdings" w:eastAsia="微软雅黑" w:hAnsi="Wingdings" w:hint="default"/>
        <w:sz w:val="28"/>
      </w:rPr>
    </w:lvl>
    <w:lvl w:ilvl="2">
      <w:numFmt w:val="bullet"/>
      <w:lvlText w:val=""/>
      <w:lvlJc w:val="left"/>
      <w:pPr>
        <w:ind w:hanging="480" w:left="2160"/>
      </w:pPr>
      <w:rPr>
        <w:rFonts w:ascii="Wingdings" w:eastAsia="微软雅黑" w:hAnsi="Wingdings" w:hint="default"/>
        <w:sz w:val="28"/>
      </w:rPr>
    </w:lvl>
    <w:lvl w:ilvl="3">
      <w:numFmt w:val="bullet"/>
      <w:lvlText w:val="•"/>
      <w:lvlJc w:val="left"/>
      <w:pPr>
        <w:ind w:hanging="480" w:left="2880"/>
      </w:pPr>
      <w:rPr>
        <w:rFonts w:ascii="微软雅黑" w:eastAsia="微软雅黑" w:hAnsi="微软雅黑" w:hint="eastAsia"/>
        <w:sz w:val="28"/>
      </w:rPr>
    </w:lvl>
    <w:lvl w:ilvl="4">
      <w:numFmt w:val="bullet"/>
      <w:lvlText w:val="•"/>
      <w:lvlJc w:val="left"/>
      <w:pPr>
        <w:ind w:hanging="480" w:left="3600"/>
      </w:pPr>
      <w:rPr>
        <w:rFonts w:ascii="微软雅黑" w:eastAsia="微软雅黑" w:hAnsi="微软雅黑" w:hint="eastAsia"/>
        <w:sz w:val="28"/>
      </w:rPr>
    </w:lvl>
    <w:lvl w:ilvl="5">
      <w:numFmt w:val="bullet"/>
      <w:lvlText w:val="•"/>
      <w:lvlJc w:val="left"/>
      <w:pPr>
        <w:ind w:hanging="480" w:left="4320"/>
      </w:pPr>
      <w:rPr>
        <w:rFonts w:eastAsia="微软雅黑" w:hint="eastAsia"/>
        <w:sz w:val="28"/>
      </w:rPr>
    </w:lvl>
    <w:lvl w:ilvl="6">
      <w:numFmt w:val="bullet"/>
      <w:lvlText w:val="•"/>
      <w:lvlJc w:val="left"/>
      <w:pPr>
        <w:ind w:hanging="480" w:left="5040"/>
      </w:pPr>
      <w:rPr>
        <w:rFonts w:eastAsia="微软雅黑"/>
        <w:sz w:val="28"/>
      </w:rPr>
    </w:lvl>
    <w:lvl w:ilvl="7">
      <w:numFmt w:val="bullet"/>
      <w:lvlText w:val="•"/>
      <w:lvlJc w:val="left"/>
      <w:pPr>
        <w:ind w:hanging="480" w:left="5760"/>
      </w:pPr>
      <w:rPr>
        <w:rFonts w:eastAsia="微软雅黑" w:hint="eastAsia"/>
        <w:sz w:val="28"/>
      </w:rPr>
    </w:lvl>
    <w:lvl w:ilvl="8">
      <w:numFmt w:val="bullet"/>
      <w:lvlText w:val="•"/>
      <w:lvlJc w:val="left"/>
      <w:pPr>
        <w:ind w:hanging="480" w:left="6480"/>
      </w:pPr>
      <w:rPr>
        <w:rFonts w:eastAsia="微软雅黑" w:hint="eastAsia"/>
        <w:sz w:val="28"/>
      </w:rPr>
    </w:lvl>
  </w:abstractNum>
  <w:abstractNum w:abstractNumId="4">
    <w:nsid w:val="553929AC"/>
    <w:multiLevelType w:val="multilevel"/>
    <w:tmpl w:val="22C0AC60"/>
    <w:styleLink w:val="2"/>
    <w:lvl w:ilvl="0">
      <w:start w:val="1"/>
      <w:numFmt w:val="decimal"/>
      <w:lvlText w:val="%1."/>
      <w:lvlJc w:val="left"/>
      <w:pPr>
        <w:ind w:hanging="480" w:left="1440"/>
      </w:pPr>
      <w:rPr>
        <w:rFonts w:hint="eastAsia"/>
      </w:rPr>
    </w:lvl>
    <w:lvl w:ilvl="1">
      <w:start w:val="1"/>
      <w:numFmt w:val="decimal"/>
      <w:lvlText w:val="%2)"/>
      <w:lvlJc w:val="left"/>
      <w:pPr>
        <w:ind w:hanging="480" w:left="2160"/>
      </w:pPr>
      <w:rPr>
        <w:rFonts w:hint="eastAsia"/>
      </w:rPr>
    </w:lvl>
    <w:lvl w:ilvl="2">
      <w:start w:val="1"/>
      <w:numFmt w:val="upperLetter"/>
      <w:lvlText w:val="%3."/>
      <w:lvlJc w:val="left"/>
      <w:pPr>
        <w:ind w:hanging="480" w:left="2880"/>
      </w:pPr>
      <w:rPr>
        <w:rFonts w:hint="eastAsia"/>
      </w:rPr>
    </w:lvl>
    <w:lvl w:ilvl="3">
      <w:start w:val="1"/>
      <w:numFmt w:val="lowerLetter"/>
      <w:lvlText w:val="%4."/>
      <w:lvlJc w:val="left"/>
      <w:pPr>
        <w:ind w:hanging="480" w:left="3600"/>
      </w:pPr>
      <w:rPr>
        <w:rFonts w:hint="eastAsia"/>
      </w:rPr>
    </w:lvl>
    <w:lvl w:ilvl="4">
      <w:start w:val="1"/>
      <w:numFmt w:val="decimal"/>
      <w:lvlText w:val="%5."/>
      <w:lvlJc w:val="left"/>
      <w:pPr>
        <w:ind w:hanging="480" w:left="4320"/>
      </w:pPr>
      <w:rPr>
        <w:rFonts w:hint="eastAsia"/>
      </w:rPr>
    </w:lvl>
    <w:lvl w:ilvl="5">
      <w:start w:val="1"/>
      <w:numFmt w:val="decimal"/>
      <w:lvlText w:val="%6)"/>
      <w:lvlJc w:val="left"/>
      <w:pPr>
        <w:ind w:hanging="480" w:left="5040"/>
      </w:pPr>
      <w:rPr>
        <w:rFonts w:hint="eastAsia"/>
      </w:rPr>
    </w:lvl>
    <w:lvl w:ilvl="6">
      <w:start w:val="1"/>
      <w:numFmt w:val="upperLetter"/>
      <w:lvlText w:val="%7."/>
      <w:lvlJc w:val="left"/>
      <w:pPr>
        <w:ind w:hanging="480" w:left="5760"/>
      </w:pPr>
      <w:rPr>
        <w:rFonts w:hint="eastAsia"/>
      </w:rPr>
    </w:lvl>
    <w:lvl w:ilvl="7">
      <w:start w:val="1"/>
      <w:numFmt w:val="lowerLetter"/>
      <w:lvlText w:val="%8."/>
      <w:lvlJc w:val="left"/>
      <w:pPr>
        <w:ind w:hanging="480" w:left="6480"/>
      </w:pPr>
      <w:rPr>
        <w:rFonts w:hint="eastAsia"/>
      </w:rPr>
    </w:lvl>
    <w:lvl w:ilvl="8">
      <w:start w:val="1"/>
      <w:numFmt w:val="lowerRoman"/>
      <w:lvlText w:val="%9."/>
      <w:lvlJc w:val="left"/>
      <w:pPr>
        <w:ind w:hanging="480" w:left="7200"/>
      </w:pPr>
      <w:rPr>
        <w:rFonts w:hint="eastAsia"/>
      </w:rPr>
    </w:lvl>
  </w:abstractNum>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
    <w:abstractNumId w:val="3"/>
  </w:num>
  <w:num w:numId="2">
    <w:abstractNumId w:val="4"/>
  </w:num>
  <w:num w:numId="3">
    <w:abstractNumId w:val="0"/>
  </w:num>
  <w:num w:numId="4">
    <w:abstractNumId w:val="2"/>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bordersDoNotSurroundHeader/>
  <w:bordersDoNotSurroundFooter/>
  <w:proofState w:grammar="clean" w:spelling="clean"/>
  <w:stylePaneFormatFilter w:allStyles="0" w:alternateStyleNames="0" w:clearFormatting="0" w:customStyles="0" w:directFormattingOnNumbering="0" w:directFormattingOnParagraphs="0" w:directFormattingOnRuns="0" w:directFormattingOnTables="0" w:headingStyles="0" w:latentStyles="1" w:numberingStyles="0" w:stylesInUse="0" w:tableStyles="0" w:top3HeadingStyles="0" w:val="0004" w:visibleStyles="0"/>
  <w:doNotTrackMoves/>
  <w:defaultTabStop w:val="720"/>
  <w:drawingGridHorizontalSpacing w:val="360"/>
  <w:drawingGridVerticalSpacing w:val="360"/>
  <w:displayHorizontalDrawingGridEvery w:val="0"/>
  <w:displayVerticalDrawingGridEvery w:val="0"/>
  <w:characterSpacingControl w:val="doNotCompress"/>
  <w:savePreviewPicture/>
  <w:hdrShapeDefaults>
    <o:shapedefaults spidmax="2049" v:ext="edit"/>
  </w:hdrShapeDefault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45B"/>
    <w:rsid w:val="00087D78"/>
    <w:rsid w:val="000D04EB"/>
    <w:rsid w:val="0017089F"/>
    <w:rsid w:val="002C5429"/>
    <w:rsid w:val="0030688A"/>
    <w:rsid w:val="00350D07"/>
    <w:rsid w:val="00382843"/>
    <w:rsid w:val="00471DB3"/>
    <w:rsid w:val="004A36D8"/>
    <w:rsid w:val="004A5F37"/>
    <w:rsid w:val="004A7690"/>
    <w:rsid w:val="005D51F7"/>
    <w:rsid w:val="00623F7E"/>
    <w:rsid w:val="00647011"/>
    <w:rsid w:val="006747B6"/>
    <w:rsid w:val="006B564A"/>
    <w:rsid w:val="007B7F35"/>
    <w:rsid w:val="007F1979"/>
    <w:rsid w:val="008F4924"/>
    <w:rsid w:val="009013F6"/>
    <w:rsid w:val="00970C9D"/>
    <w:rsid w:val="00A14FF3"/>
    <w:rsid w:val="00A715CB"/>
    <w:rsid w:val="00AF14BC"/>
    <w:rsid w:val="00B14E3C"/>
    <w:rsid w:val="00B54CBC"/>
    <w:rsid w:val="00BB0144"/>
    <w:rsid w:val="00BC05BD"/>
    <w:rsid w:val="00BF6B73"/>
    <w:rsid w:val="00C06AC9"/>
    <w:rsid w:val="00C12286"/>
    <w:rsid w:val="00C214C8"/>
    <w:rsid w:val="00C47116"/>
    <w:rsid w:val="00CD5165"/>
    <w:rsid w:val="00D6152C"/>
    <w:rsid w:val="00D6313B"/>
    <w:rsid w:val="00DC0840"/>
    <w:rsid w:val="00E1645B"/>
    <w:rsid w:val="00E371D2"/>
    <w:rsid w:val="00E56281"/>
    <w:rsid w:val="00EA60FF"/>
    <w:rsid w:val="00FC5FAB"/>
  </w:rsids>
  <w:themeFontLang w:eastAsia="zh-CN"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cstheme="minorBidi" w:eastAsiaTheme="minorEastAsia" w:hAnsiTheme="minorHAnsi"/>
        <w:sz w:val="24"/>
        <w:szCs w:val="24"/>
        <w:lang w:bidi="ar-SA" w:eastAsia="en-US" w:val="en-US"/>
      </w:rPr>
    </w:rPrDefault>
    <w:pPrDefault>
      <w:pPr>
        <w:spacing w:after="200"/>
      </w:pPr>
    </w:pPrDefault>
  </w:docDefaults>
  <w:latentStyles w:count="267" w:defLockedState="0" w:defQFormat="0" w:defSemiHidden="0" w:defUIPriority="0" w:defUnhideWhenUsed="0">
    <w:lsdException w:name="footer"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atentStyles>
  <w:style w:default="1" w:styleId="a" w:type="paragraph">
    <w:name w:val="Normal"/>
    <w:qFormat/>
    <w:rsid w:val="00E371D2"/>
    <w:pPr>
      <w:spacing w:after="0" w:line="360" w:lineRule="auto"/>
    </w:pPr>
    <w:rPr>
      <w:rFonts w:ascii="Times New Roman" w:eastAsia="仿宋" w:hAnsi="Times New Roman"/>
      <w:sz w:val="21"/>
    </w:rPr>
  </w:style>
  <w:style w:styleId="10" w:type="paragraph">
    <w:name w:val="heading 1"/>
    <w:basedOn w:val="a"/>
    <w:next w:val="a0"/>
    <w:autoRedefine/>
    <w:uiPriority w:val="9"/>
    <w:qFormat/>
    <w:rsid w:val="00D6152C"/>
    <w:pPr>
      <w:keepNext/>
      <w:keepLines/>
      <w:spacing w:before="480"/>
      <w:jc w:val="center"/>
      <w:outlineLvl w:val="0"/>
    </w:pPr>
    <w:rPr>
      <w:rFonts w:cstheme="majorBidi" w:eastAsia="黑体"/>
      <w:b/>
      <w:bCs/>
      <w:sz w:val="36"/>
      <w:szCs w:val="32"/>
    </w:rPr>
  </w:style>
  <w:style w:styleId="20" w:type="paragraph">
    <w:name w:val="heading 2"/>
    <w:basedOn w:val="a"/>
    <w:next w:val="a0"/>
    <w:uiPriority w:val="9"/>
    <w:unhideWhenUsed/>
    <w:qFormat/>
    <w:rsid w:val="00C22677"/>
    <w:pPr>
      <w:keepNext/>
      <w:keepLines/>
      <w:spacing w:before="300"/>
      <w:outlineLvl w:val="1"/>
    </w:pPr>
    <w:rPr>
      <w:rFonts w:cstheme="majorBidi" w:eastAsia="黑体"/>
      <w:b/>
      <w:bCs/>
      <w:sz w:val="32"/>
      <w:szCs w:val="32"/>
    </w:rPr>
  </w:style>
  <w:style w:styleId="3" w:type="paragraph">
    <w:name w:val="heading 3"/>
    <w:basedOn w:val="a"/>
    <w:next w:val="a0"/>
    <w:uiPriority w:val="9"/>
    <w:unhideWhenUsed/>
    <w:qFormat/>
    <w:rsid w:val="00C22677"/>
    <w:pPr>
      <w:keepNext/>
      <w:keepLines/>
      <w:spacing w:before="200"/>
      <w:outlineLvl w:val="2"/>
    </w:pPr>
    <w:rPr>
      <w:rFonts w:asciiTheme="majorHAnsi" w:cstheme="majorBidi" w:eastAsia="黑体" w:hAnsiTheme="majorHAnsi"/>
      <w:b/>
      <w:bCs/>
      <w:sz w:val="26"/>
      <w:szCs w:val="28"/>
    </w:rPr>
  </w:style>
  <w:style w:styleId="4" w:type="paragraph">
    <w:name w:val="heading 4"/>
    <w:basedOn w:val="a"/>
    <w:next w:val="a0"/>
    <w:uiPriority w:val="9"/>
    <w:unhideWhenUsed/>
    <w:qFormat/>
    <w:rsid w:val="00C22677"/>
    <w:pPr>
      <w:keepNext/>
      <w:keepLines/>
      <w:spacing w:before="200"/>
      <w:outlineLvl w:val="3"/>
    </w:pPr>
    <w:rPr>
      <w:rFonts w:asciiTheme="majorHAnsi" w:cstheme="majorBidi" w:eastAsia="黑体" w:hAnsiTheme="majorHAnsi"/>
      <w:bCs/>
    </w:rPr>
  </w:style>
  <w:style w:styleId="5" w:type="paragraph">
    <w:name w:val="heading 5"/>
    <w:basedOn w:val="a"/>
    <w:next w:val="a0"/>
    <w:uiPriority w:val="9"/>
    <w:unhideWhenUsed/>
    <w:qFormat/>
    <w:rsid w:val="00C22677"/>
    <w:pPr>
      <w:keepNext/>
      <w:keepLines/>
      <w:spacing w:before="200"/>
      <w:outlineLvl w:val="4"/>
    </w:pPr>
    <w:rPr>
      <w:rFonts w:asciiTheme="majorHAnsi" w:cstheme="majorBidi" w:eastAsia="黑体" w:hAnsiTheme="majorHAnsi"/>
      <w:iCs/>
    </w:rPr>
  </w:style>
  <w:style w:styleId="6" w:type="paragraph">
    <w:name w:val="heading 6"/>
    <w:basedOn w:val="a"/>
    <w:next w:val="a0"/>
    <w:uiPriority w:val="9"/>
    <w:unhideWhenUsed/>
    <w:qFormat/>
    <w:rsid w:val="00C22677"/>
    <w:pPr>
      <w:keepNext/>
      <w:keepLines/>
      <w:spacing w:before="200"/>
      <w:outlineLvl w:val="5"/>
    </w:pPr>
    <w:rPr>
      <w:rFonts w:asciiTheme="majorHAnsi" w:cstheme="majorBidi" w:eastAsia="黑体" w:hAnsiTheme="majorHAnsi"/>
    </w:rPr>
  </w:style>
  <w:style w:styleId="7" w:type="paragraph">
    <w:name w:val="heading 7"/>
    <w:basedOn w:val="a"/>
    <w:next w:val="a0"/>
    <w:uiPriority w:val="9"/>
    <w:unhideWhenUsed/>
    <w:qFormat/>
    <w:pPr>
      <w:keepNext/>
      <w:keepLines/>
      <w:spacing w:before="200"/>
      <w:outlineLvl w:val="6"/>
    </w:pPr>
    <w:rPr>
      <w:rFonts w:asciiTheme="majorHAnsi" w:cstheme="majorBidi" w:eastAsiaTheme="majorEastAsia" w:hAnsiTheme="majorHAnsi"/>
      <w:color w:themeColor="accent1" w:val="4F81BD"/>
    </w:rPr>
  </w:style>
  <w:style w:styleId="8" w:type="paragraph">
    <w:name w:val="heading 8"/>
    <w:basedOn w:val="a"/>
    <w:next w:val="a0"/>
    <w:uiPriority w:val="9"/>
    <w:unhideWhenUsed/>
    <w:qFormat/>
    <w:pPr>
      <w:keepNext/>
      <w:keepLines/>
      <w:spacing w:before="200"/>
      <w:outlineLvl w:val="7"/>
    </w:pPr>
    <w:rPr>
      <w:rFonts w:asciiTheme="majorHAnsi" w:cstheme="majorBidi" w:eastAsiaTheme="majorEastAsia" w:hAnsiTheme="majorHAnsi"/>
      <w:color w:themeColor="accent1" w:val="4F81BD"/>
    </w:rPr>
  </w:style>
  <w:style w:styleId="9" w:type="paragraph">
    <w:name w:val="heading 9"/>
    <w:basedOn w:val="a"/>
    <w:next w:val="a0"/>
    <w:uiPriority w:val="9"/>
    <w:unhideWhenUsed/>
    <w:qFormat/>
    <w:pPr>
      <w:keepNext/>
      <w:keepLines/>
      <w:spacing w:before="200"/>
      <w:outlineLvl w:val="8"/>
    </w:pPr>
    <w:rPr>
      <w:rFonts w:asciiTheme="majorHAnsi" w:cstheme="majorBidi" w:eastAsiaTheme="majorEastAsia" w:hAnsiTheme="majorHAnsi"/>
      <w:color w:themeColor="accent1" w:val="4F81BD"/>
    </w:rPr>
  </w:style>
  <w:style w:default="1" w:styleId="a1" w:type="character">
    <w:name w:val="Default Paragraph Font"/>
    <w:uiPriority w:val="1"/>
    <w:semiHidden/>
    <w:unhideWhenUsed/>
  </w:style>
  <w:style w:default="1" w:styleId="a2" w:type="table">
    <w:name w:val="Normal Table"/>
    <w:uiPriority w:val="99"/>
    <w:semiHidden/>
    <w:unhideWhenUsed/>
    <w:tblPr>
      <w:tblInd w:type="dxa" w:w="0"/>
      <w:tblCellMar>
        <w:top w:type="dxa" w:w="0"/>
        <w:left w:type="dxa" w:w="108"/>
        <w:bottom w:type="dxa" w:w="0"/>
        <w:right w:type="dxa" w:w="108"/>
      </w:tblCellMar>
    </w:tblPr>
  </w:style>
  <w:style w:default="1" w:styleId="a3" w:type="numbering">
    <w:name w:val="No List"/>
    <w:uiPriority w:val="99"/>
    <w:semiHidden/>
    <w:unhideWhenUsed/>
  </w:style>
  <w:style w:styleId="a0" w:type="paragraph">
    <w:name w:val="Body Text"/>
    <w:basedOn w:val="FirstParagraph"/>
    <w:link w:val="Char"/>
    <w:qFormat/>
    <w:rsid w:val="00743667"/>
  </w:style>
  <w:style w:customStyle="1" w:styleId="FirstParagraph" w:type="paragraph">
    <w:name w:val="First Paragraph"/>
    <w:basedOn w:val="a"/>
    <w:next w:val="a0"/>
    <w:qFormat/>
    <w:rsid w:val="000C100F"/>
    <w:pPr>
      <w:spacing w:before="180"/>
      <w:ind w:firstLine="480" w:firstLineChars="200"/>
    </w:pPr>
    <w:rPr>
      <w:lang w:eastAsia="zh-CN"/>
    </w:rPr>
  </w:style>
  <w:style w:customStyle="1" w:styleId="Compact" w:type="paragraph">
    <w:name w:val="Compact"/>
    <w:basedOn w:val="a0"/>
    <w:qFormat/>
    <w:rsid w:val="004A36D8"/>
    <w:pPr>
      <w:spacing w:after="60" w:before="60"/>
      <w:ind w:firstLine="0" w:firstLineChars="0"/>
    </w:pPr>
  </w:style>
  <w:style w:styleId="a4" w:type="paragraph">
    <w:name w:val="Title"/>
    <w:basedOn w:val="a"/>
    <w:next w:val="a0"/>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a5" w:type="paragraph">
    <w:name w:val="Subtitle"/>
    <w:basedOn w:val="a4"/>
    <w:next w:val="a0"/>
    <w:qFormat/>
    <w:pPr>
      <w:spacing w:before="240"/>
    </w:pPr>
    <w:rPr>
      <w:sz w:val="30"/>
      <w:szCs w:val="30"/>
    </w:rPr>
  </w:style>
  <w:style w:customStyle="1" w:styleId="Author" w:type="paragraph">
    <w:name w:val="Author"/>
    <w:next w:val="a0"/>
    <w:qFormat/>
    <w:pPr>
      <w:keepNext/>
      <w:keepLines/>
      <w:jc w:val="center"/>
    </w:pPr>
  </w:style>
  <w:style w:styleId="a6" w:type="paragraph">
    <w:name w:val="Date"/>
    <w:next w:val="a0"/>
    <w:qFormat/>
    <w:pPr>
      <w:keepNext/>
      <w:keepLines/>
      <w:jc w:val="center"/>
    </w:pPr>
  </w:style>
  <w:style w:customStyle="1" w:styleId="Abstract" w:type="paragraph">
    <w:name w:val="Abstract"/>
    <w:basedOn w:val="a"/>
    <w:next w:val="a0"/>
    <w:qFormat/>
    <w:pPr>
      <w:keepNext/>
      <w:keepLines/>
      <w:spacing w:after="300" w:before="300"/>
    </w:pPr>
    <w:rPr>
      <w:sz w:val="20"/>
      <w:szCs w:val="20"/>
    </w:rPr>
  </w:style>
  <w:style w:styleId="a7" w:type="paragraph">
    <w:name w:val="Bibliography"/>
    <w:basedOn w:val="a"/>
    <w:qFormat/>
    <w:rsid w:val="00DC0840"/>
    <w:pPr>
      <w:tabs>
        <w:tab w:pos="384" w:val="left"/>
      </w:tabs>
      <w:spacing w:line="240" w:lineRule="auto"/>
      <w:ind w:hanging="200" w:hangingChars="200" w:left="200"/>
    </w:pPr>
  </w:style>
  <w:style w:styleId="a8" w:type="paragraph">
    <w:name w:val="Block Text"/>
    <w:basedOn w:val="a"/>
    <w:uiPriority w:val="9"/>
    <w:unhideWhenUsed/>
    <w:qFormat/>
    <w:rsid w:val="00AF14BC"/>
    <w:pPr>
      <w:pBdr>
        <w:left w:color="A6A6A6" w:space="4" w:sz="48" w:themeColor="background1" w:themeShade="A6" w:val="single"/>
        <w:right w:color="A6A6A6" w:space="4" w:sz="48" w:themeColor="background1" w:themeShade="A6" w:val="single"/>
      </w:pBdr>
      <w:shd w:color="auto" w:fill="F2F2F2" w:themeFill="background1" w:themeFillShade="F2" w:val="clear"/>
      <w:spacing w:before="100"/>
    </w:pPr>
    <w:rPr>
      <w:rFonts w:eastAsiaTheme="minorEastAsia"/>
      <w:lang w:eastAsia="zh-CN"/>
    </w:rPr>
  </w:style>
  <w:style w:styleId="a9" w:type="paragraph">
    <w:name w:val="footnote text"/>
    <w:basedOn w:val="a"/>
    <w:uiPriority w:val="9"/>
    <w:unhideWhenUsed/>
    <w:qFormat/>
  </w:style>
  <w:style w:customStyle="1" w:styleId="Table" w:type="table">
    <w:name w:val="Table"/>
    <w:semiHidden/>
    <w:unhideWhenUsed/>
    <w:qFormat/>
    <w:rsid w:val="00350D07"/>
    <w:rPr>
      <w:rFonts w:ascii="Times New Roman" w:eastAsia="仿宋" w:hAnsi="Times New Roman"/>
      <w:sz w:val="20"/>
      <w:szCs w:val="20"/>
      <w:lang w:eastAsia="zh-CN"/>
    </w:rPr>
    <w:tblPr>
      <w:jc w:val="center"/>
      <w:tblInd w:type="dxa" w:w="0"/>
      <w:tblBorders>
        <w:top w:color="auto" w:space="0" w:sz="8" w:val="single"/>
        <w:left w:color="auto" w:space="0" w:sz="8" w:val="single"/>
        <w:bottom w:color="auto" w:space="0" w:sz="8" w:val="single"/>
        <w:right w:color="auto" w:space="0" w:sz="8" w:val="single"/>
        <w:insideH w:color="auto" w:space="0" w:sz="8" w:val="single"/>
        <w:insideV w:color="auto" w:space="0" w:sz="8" w:val="single"/>
      </w:tblBorders>
      <w:tblCellMar>
        <w:top w:type="dxa" w:w="28"/>
        <w:left w:type="dxa" w:w="108"/>
        <w:bottom w:type="dxa" w:w="28"/>
        <w:right w:type="dxa" w:w="108"/>
      </w:tblCellMar>
    </w:tblPr>
    <w:trPr>
      <w:jc w:val="center"/>
    </w:trPr>
    <w:tcPr>
      <w:shd w:color="auto" w:fill="auto" w:val="clear"/>
      <w:vAlign w:val="center"/>
    </w:tcPr>
    <w:tblStylePr w:type="firstRow">
      <w:rPr>
        <w:rFonts w:eastAsia="宋体"/>
        <w:b/>
        <w:i w:val="0"/>
      </w:rPr>
      <w:tblPr/>
      <w:tcPr>
        <w:tcBorders>
          <w:bottom w:color="auto" w:space="0" w:sz="4" w:val="single"/>
        </w:tcBorders>
      </w:tcPr>
    </w:tblStylePr>
  </w:style>
  <w:style w:customStyle="1" w:styleId="DefinitionTerm" w:type="paragraph">
    <w:name w:val="Definition Term"/>
    <w:basedOn w:val="a"/>
    <w:next w:val="Definition"/>
    <w:pPr>
      <w:keepNext/>
      <w:keepLines/>
    </w:pPr>
    <w:rPr>
      <w:b/>
    </w:rPr>
  </w:style>
  <w:style w:customStyle="1" w:styleId="Definition" w:type="paragraph">
    <w:name w:val="Definition"/>
    <w:basedOn w:val="a"/>
  </w:style>
  <w:style w:styleId="aa" w:type="paragraph">
    <w:name w:val="caption"/>
    <w:basedOn w:val="a"/>
    <w:link w:val="Char0"/>
    <w:rsid w:val="005D0F42"/>
    <w:pPr>
      <w:spacing w:after="120"/>
      <w:jc w:val="center"/>
    </w:pPr>
  </w:style>
  <w:style w:customStyle="1" w:styleId="TableCaption" w:type="paragraph">
    <w:name w:val="Table Caption"/>
    <w:basedOn w:val="aa"/>
    <w:pPr>
      <w:keepNext/>
    </w:pPr>
  </w:style>
  <w:style w:customStyle="1" w:styleId="ImageCaption" w:type="paragraph">
    <w:name w:val="Image Caption"/>
    <w:basedOn w:val="aa"/>
  </w:style>
  <w:style w:customStyle="1" w:styleId="Figure" w:type="paragraph">
    <w:name w:val="Figure"/>
    <w:basedOn w:val="a"/>
  </w:style>
  <w:style w:customStyle="1" w:styleId="CaptionedFigure" w:type="paragraph">
    <w:name w:val="Captioned Figure"/>
    <w:basedOn w:val="Figure"/>
    <w:pPr>
      <w:keepNext/>
    </w:pPr>
  </w:style>
  <w:style w:customStyle="1" w:styleId="Char0" w:type="character">
    <w:name w:val="题注 Char"/>
    <w:basedOn w:val="a1"/>
    <w:link w:val="aa"/>
    <w:rsid w:val="005D0F42"/>
    <w:rPr>
      <w:rFonts w:ascii="Times New Roman" w:eastAsia="宋体" w:hAnsi="Times New Roman"/>
    </w:rPr>
  </w:style>
  <w:style w:customStyle="1" w:styleId="VerbatimChar" w:type="character">
    <w:name w:val="Verbatim Char"/>
    <w:basedOn w:val="Char0"/>
    <w:link w:val="SourceCode"/>
    <w:rsid w:val="00D149F4"/>
    <w:rPr>
      <w:rFonts w:ascii="Fira Code" w:cs="Times New Roman (正文 CS 字体)" w:eastAsia="宋体" w:hAnsi="Fira Code"/>
      <w:color w:themeColor="text1" w:themeTint="BF" w:val="404040"/>
      <w:sz w:val="21"/>
      <w:shd w:color="auto" w:fill="auto" w:val="pct5"/>
      <w:lang w:eastAsia="zh-CN"/>
    </w:rPr>
  </w:style>
  <w:style w:styleId="ab" w:type="character">
    <w:name w:val="footnote reference"/>
    <w:basedOn w:val="Char0"/>
    <w:rPr>
      <w:rFonts w:ascii="Times New Roman" w:eastAsia="宋体" w:hAnsi="Times New Roman"/>
      <w:vertAlign w:val="superscript"/>
    </w:rPr>
  </w:style>
  <w:style w:styleId="ac" w:type="character">
    <w:name w:val="Hyperlink"/>
    <w:basedOn w:val="Char0"/>
    <w:rsid w:val="000C100F"/>
    <w:rPr>
      <w:rFonts w:ascii="Times New Roman" w:eastAsia="宋体" w:hAnsi="Times New Roman"/>
      <w:color w:val="0070C0"/>
    </w:rPr>
  </w:style>
  <w:style w:styleId="TOC" w:type="paragraph">
    <w:name w:val="TOC Heading"/>
    <w:basedOn w:val="10"/>
    <w:next w:val="a0"/>
    <w:uiPriority w:val="39"/>
    <w:unhideWhenUsed/>
    <w:qFormat/>
    <w:pPr>
      <w:spacing w:before="240" w:line="259" w:lineRule="auto"/>
      <w:outlineLvl w:val="9"/>
    </w:pPr>
    <w:rPr>
      <w:b w:val="0"/>
      <w:bCs w:val="0"/>
      <w:color w:themeColor="accent1" w:themeShade="BF" w:val="365F91"/>
    </w:rPr>
  </w:style>
  <w:style w:customStyle="1" w:styleId="SourceCode" w:type="paragraph">
    <w:name w:val="Source Code"/>
    <w:basedOn w:val="a"/>
    <w:link w:val="VerbatimChar"/>
    <w:qFormat/>
    <w:rsid w:val="00D149F4"/>
    <w:pPr>
      <w:pBdr>
        <w:top w:color="BFBFBF" w:space="10" w:sz="8" w:themeColor="background1" w:themeShade="BF" w:val="single"/>
        <w:left w:color="BFBFBF" w:space="10" w:sz="8" w:themeColor="background1" w:themeShade="BF" w:val="single"/>
        <w:bottom w:color="BFBFBF" w:space="10" w:sz="8" w:themeColor="background1" w:themeShade="BF" w:val="single"/>
        <w:right w:color="BFBFBF" w:space="10" w:sz="8" w:themeColor="background1" w:themeShade="BF" w:val="single"/>
      </w:pBdr>
      <w:shd w:color="auto" w:fill="auto" w:val="pct5"/>
      <w:wordWrap w:val="0"/>
    </w:pPr>
    <w:rPr>
      <w:rFonts w:ascii="Fira Code" w:cs="Times New Roman (正文 CS 字体)" w:hAnsi="Fira Code"/>
      <w:color w:themeColor="text1" w:themeTint="BF" w:val="404040"/>
      <w:shd w:color="auto" w:fill="auto" w:val="pct5"/>
      <w:lang w:eastAsia="zh-CN"/>
    </w:rPr>
  </w:style>
  <w:style w:customStyle="1" w:styleId="KeywordTok" w:type="character">
    <w:name w:val="KeywordTok"/>
    <w:basedOn w:val="VerbatimChar"/>
    <w:rPr>
      <w:rFonts w:ascii="Consolas" w:cs="Times New Roman (正文 CS 字体)" w:eastAsia="宋体" w:hAnsi="Consolas"/>
      <w:b/>
      <w:color w:val="007020"/>
      <w:sz w:val="22"/>
      <w:shd w:color="auto" w:fill="auto" w:val="pct5"/>
      <w:lang w:eastAsia="zh-CN"/>
    </w:rPr>
  </w:style>
  <w:style w:customStyle="1" w:styleId="DataTypeTok" w:type="character">
    <w:name w:val="DataTypeTok"/>
    <w:basedOn w:val="VerbatimChar"/>
    <w:rPr>
      <w:rFonts w:ascii="Consolas" w:cs="Times New Roman (正文 CS 字体)" w:eastAsia="宋体" w:hAnsi="Consolas"/>
      <w:color w:val="902000"/>
      <w:sz w:val="22"/>
      <w:shd w:color="auto" w:fill="auto" w:val="pct5"/>
      <w:lang w:eastAsia="zh-CN"/>
    </w:rPr>
  </w:style>
  <w:style w:customStyle="1" w:styleId="DecValTok" w:type="character">
    <w:name w:val="DecValTok"/>
    <w:basedOn w:val="VerbatimChar"/>
    <w:rPr>
      <w:rFonts w:ascii="Consolas" w:cs="Times New Roman (正文 CS 字体)" w:eastAsia="宋体" w:hAnsi="Consolas"/>
      <w:color w:val="40A070"/>
      <w:sz w:val="22"/>
      <w:shd w:color="auto" w:fill="auto" w:val="pct5"/>
      <w:lang w:eastAsia="zh-CN"/>
    </w:rPr>
  </w:style>
  <w:style w:customStyle="1" w:styleId="BaseNTok" w:type="character">
    <w:name w:val="BaseNTok"/>
    <w:basedOn w:val="VerbatimChar"/>
    <w:rPr>
      <w:rFonts w:ascii="Consolas" w:cs="Times New Roman (正文 CS 字体)" w:eastAsia="宋体" w:hAnsi="Consolas"/>
      <w:color w:val="40A070"/>
      <w:sz w:val="22"/>
      <w:shd w:color="auto" w:fill="auto" w:val="pct5"/>
      <w:lang w:eastAsia="zh-CN"/>
    </w:rPr>
  </w:style>
  <w:style w:customStyle="1" w:styleId="FloatTok" w:type="character">
    <w:name w:val="FloatTok"/>
    <w:basedOn w:val="VerbatimChar"/>
    <w:rPr>
      <w:rFonts w:ascii="Consolas" w:cs="Times New Roman (正文 CS 字体)" w:eastAsia="宋体" w:hAnsi="Consolas"/>
      <w:color w:val="40A070"/>
      <w:sz w:val="22"/>
      <w:shd w:color="auto" w:fill="auto" w:val="pct5"/>
      <w:lang w:eastAsia="zh-CN"/>
    </w:rPr>
  </w:style>
  <w:style w:customStyle="1" w:styleId="ConstantTok" w:type="character">
    <w:name w:val="ConstantTok"/>
    <w:basedOn w:val="VerbatimChar"/>
    <w:rPr>
      <w:rFonts w:ascii="Consolas" w:cs="Times New Roman (正文 CS 字体)" w:eastAsia="宋体" w:hAnsi="Consolas"/>
      <w:color w:val="880000"/>
      <w:sz w:val="22"/>
      <w:shd w:color="auto" w:fill="auto" w:val="pct5"/>
      <w:lang w:eastAsia="zh-CN"/>
    </w:rPr>
  </w:style>
  <w:style w:customStyle="1" w:styleId="CharTok" w:type="character">
    <w:name w:val="CharTok"/>
    <w:basedOn w:val="VerbatimChar"/>
    <w:rPr>
      <w:rFonts w:ascii="Consolas" w:cs="Times New Roman (正文 CS 字体)" w:eastAsia="宋体" w:hAnsi="Consolas"/>
      <w:color w:val="4070A0"/>
      <w:sz w:val="22"/>
      <w:shd w:color="auto" w:fill="auto" w:val="pct5"/>
      <w:lang w:eastAsia="zh-CN"/>
    </w:rPr>
  </w:style>
  <w:style w:customStyle="1" w:styleId="SpecialCharTok" w:type="character">
    <w:name w:val="SpecialCharTok"/>
    <w:basedOn w:val="VerbatimChar"/>
    <w:rPr>
      <w:rFonts w:ascii="Consolas" w:cs="Times New Roman (正文 CS 字体)" w:eastAsia="宋体" w:hAnsi="Consolas"/>
      <w:color w:val="4070A0"/>
      <w:sz w:val="22"/>
      <w:shd w:color="auto" w:fill="auto" w:val="pct5"/>
      <w:lang w:eastAsia="zh-CN"/>
    </w:rPr>
  </w:style>
  <w:style w:customStyle="1" w:styleId="StringTok" w:type="character">
    <w:name w:val="StringTok"/>
    <w:basedOn w:val="VerbatimChar"/>
    <w:rPr>
      <w:rFonts w:ascii="Consolas" w:cs="Times New Roman (正文 CS 字体)" w:eastAsia="宋体" w:hAnsi="Consolas"/>
      <w:color w:val="4070A0"/>
      <w:sz w:val="22"/>
      <w:shd w:color="auto" w:fill="auto" w:val="pct5"/>
      <w:lang w:eastAsia="zh-CN"/>
    </w:rPr>
  </w:style>
  <w:style w:customStyle="1" w:styleId="VerbatimStringTok" w:type="character">
    <w:name w:val="VerbatimStringTok"/>
    <w:basedOn w:val="VerbatimChar"/>
    <w:rPr>
      <w:rFonts w:ascii="Consolas" w:cs="Times New Roman (正文 CS 字体)" w:eastAsia="宋体" w:hAnsi="Consolas"/>
      <w:color w:val="4070A0"/>
      <w:sz w:val="22"/>
      <w:shd w:color="auto" w:fill="auto" w:val="pct5"/>
      <w:lang w:eastAsia="zh-CN"/>
    </w:rPr>
  </w:style>
  <w:style w:customStyle="1" w:styleId="SpecialStringTok" w:type="character">
    <w:name w:val="SpecialStringTok"/>
    <w:basedOn w:val="VerbatimChar"/>
    <w:rPr>
      <w:rFonts w:ascii="Consolas" w:cs="Times New Roman (正文 CS 字体)" w:eastAsia="宋体" w:hAnsi="Consolas"/>
      <w:color w:val="BB6688"/>
      <w:sz w:val="22"/>
      <w:shd w:color="auto" w:fill="auto" w:val="pct5"/>
      <w:lang w:eastAsia="zh-CN"/>
    </w:rPr>
  </w:style>
  <w:style w:customStyle="1" w:styleId="ImportTok" w:type="character">
    <w:name w:val="ImportTok"/>
    <w:basedOn w:val="VerbatimChar"/>
    <w:rPr>
      <w:rFonts w:ascii="Consolas" w:cs="Times New Roman (正文 CS 字体)" w:eastAsia="宋体" w:hAnsi="Consolas"/>
      <w:color w:themeColor="text1" w:themeTint="BF" w:val="404040"/>
      <w:sz w:val="22"/>
      <w:shd w:color="auto" w:fill="auto" w:val="pct5"/>
      <w:lang w:eastAsia="zh-CN"/>
    </w:rPr>
  </w:style>
  <w:style w:customStyle="1" w:styleId="CommentTok" w:type="character">
    <w:name w:val="CommentTok"/>
    <w:basedOn w:val="VerbatimChar"/>
    <w:rPr>
      <w:rFonts w:ascii="Consolas" w:cs="Times New Roman (正文 CS 字体)" w:eastAsia="宋体" w:hAnsi="Consolas"/>
      <w:i/>
      <w:color w:val="60A0B0"/>
      <w:sz w:val="22"/>
      <w:shd w:color="auto" w:fill="auto" w:val="pct5"/>
      <w:lang w:eastAsia="zh-CN"/>
    </w:rPr>
  </w:style>
  <w:style w:customStyle="1" w:styleId="DocumentationTok" w:type="character">
    <w:name w:val="DocumentationTok"/>
    <w:basedOn w:val="VerbatimChar"/>
    <w:rPr>
      <w:rFonts w:ascii="Consolas" w:cs="Times New Roman (正文 CS 字体)" w:eastAsia="宋体" w:hAnsi="Consolas"/>
      <w:i/>
      <w:color w:val="BA2121"/>
      <w:sz w:val="22"/>
      <w:shd w:color="auto" w:fill="auto" w:val="pct5"/>
      <w:lang w:eastAsia="zh-CN"/>
    </w:rPr>
  </w:style>
  <w:style w:customStyle="1" w:styleId="AnnotationTok" w:type="character">
    <w:name w:val="AnnotationTok"/>
    <w:basedOn w:val="VerbatimChar"/>
    <w:rPr>
      <w:rFonts w:ascii="Consolas" w:cs="Times New Roman (正文 CS 字体)" w:eastAsia="宋体" w:hAnsi="Consolas"/>
      <w:b/>
      <w:i/>
      <w:color w:val="60A0B0"/>
      <w:sz w:val="22"/>
      <w:shd w:color="auto" w:fill="auto" w:val="pct5"/>
      <w:lang w:eastAsia="zh-CN"/>
    </w:rPr>
  </w:style>
  <w:style w:customStyle="1" w:styleId="CommentVarTok" w:type="character">
    <w:name w:val="CommentVarTok"/>
    <w:basedOn w:val="VerbatimChar"/>
    <w:rPr>
      <w:rFonts w:ascii="Consolas" w:cs="Times New Roman (正文 CS 字体)" w:eastAsia="宋体" w:hAnsi="Consolas"/>
      <w:b/>
      <w:i/>
      <w:color w:val="60A0B0"/>
      <w:sz w:val="22"/>
      <w:shd w:color="auto" w:fill="auto" w:val="pct5"/>
      <w:lang w:eastAsia="zh-CN"/>
    </w:rPr>
  </w:style>
  <w:style w:customStyle="1" w:styleId="OtherTok" w:type="character">
    <w:name w:val="OtherTok"/>
    <w:basedOn w:val="VerbatimChar"/>
    <w:rPr>
      <w:rFonts w:ascii="Consolas" w:cs="Times New Roman (正文 CS 字体)" w:eastAsia="宋体" w:hAnsi="Consolas"/>
      <w:color w:val="007020"/>
      <w:sz w:val="22"/>
      <w:shd w:color="auto" w:fill="auto" w:val="pct5"/>
      <w:lang w:eastAsia="zh-CN"/>
    </w:rPr>
  </w:style>
  <w:style w:customStyle="1" w:styleId="FunctionTok" w:type="character">
    <w:name w:val="FunctionTok"/>
    <w:basedOn w:val="VerbatimChar"/>
    <w:rPr>
      <w:rFonts w:ascii="Consolas" w:cs="Times New Roman (正文 CS 字体)" w:eastAsia="宋体" w:hAnsi="Consolas"/>
      <w:color w:val="06287E"/>
      <w:sz w:val="22"/>
      <w:shd w:color="auto" w:fill="auto" w:val="pct5"/>
      <w:lang w:eastAsia="zh-CN"/>
    </w:rPr>
  </w:style>
  <w:style w:customStyle="1" w:styleId="VariableTok" w:type="character">
    <w:name w:val="VariableTok"/>
    <w:basedOn w:val="VerbatimChar"/>
    <w:rPr>
      <w:rFonts w:ascii="Consolas" w:cs="Times New Roman (正文 CS 字体)" w:eastAsia="宋体" w:hAnsi="Consolas"/>
      <w:color w:val="19177C"/>
      <w:sz w:val="22"/>
      <w:shd w:color="auto" w:fill="auto" w:val="pct5"/>
      <w:lang w:eastAsia="zh-CN"/>
    </w:rPr>
  </w:style>
  <w:style w:customStyle="1" w:styleId="ControlFlowTok" w:type="character">
    <w:name w:val="ControlFlowTok"/>
    <w:basedOn w:val="VerbatimChar"/>
    <w:rPr>
      <w:rFonts w:ascii="Consolas" w:cs="Times New Roman (正文 CS 字体)" w:eastAsia="宋体" w:hAnsi="Consolas"/>
      <w:b/>
      <w:color w:val="007020"/>
      <w:sz w:val="22"/>
      <w:shd w:color="auto" w:fill="auto" w:val="pct5"/>
      <w:lang w:eastAsia="zh-CN"/>
    </w:rPr>
  </w:style>
  <w:style w:customStyle="1" w:styleId="OperatorTok" w:type="character">
    <w:name w:val="OperatorTok"/>
    <w:basedOn w:val="VerbatimChar"/>
    <w:rPr>
      <w:rFonts w:ascii="Consolas" w:cs="Times New Roman (正文 CS 字体)" w:eastAsia="宋体" w:hAnsi="Consolas"/>
      <w:color w:val="666666"/>
      <w:sz w:val="22"/>
      <w:shd w:color="auto" w:fill="auto" w:val="pct5"/>
      <w:lang w:eastAsia="zh-CN"/>
    </w:rPr>
  </w:style>
  <w:style w:customStyle="1" w:styleId="BuiltInTok" w:type="character">
    <w:name w:val="BuiltInTok"/>
    <w:basedOn w:val="VerbatimChar"/>
    <w:rPr>
      <w:rFonts w:ascii="Consolas" w:cs="Times New Roman (正文 CS 字体)" w:eastAsia="宋体" w:hAnsi="Consolas"/>
      <w:color w:themeColor="text1" w:themeTint="BF" w:val="404040"/>
      <w:sz w:val="22"/>
      <w:shd w:color="auto" w:fill="auto" w:val="pct5"/>
      <w:lang w:eastAsia="zh-CN"/>
    </w:rPr>
  </w:style>
  <w:style w:customStyle="1" w:styleId="ExtensionTok" w:type="character">
    <w:name w:val="ExtensionTok"/>
    <w:basedOn w:val="VerbatimChar"/>
    <w:rPr>
      <w:rFonts w:ascii="Consolas" w:cs="Times New Roman (正文 CS 字体)" w:eastAsia="宋体" w:hAnsi="Consolas"/>
      <w:color w:themeColor="text1" w:themeTint="BF" w:val="404040"/>
      <w:sz w:val="22"/>
      <w:shd w:color="auto" w:fill="auto" w:val="pct5"/>
      <w:lang w:eastAsia="zh-CN"/>
    </w:rPr>
  </w:style>
  <w:style w:customStyle="1" w:styleId="PreprocessorTok" w:type="character">
    <w:name w:val="PreprocessorTok"/>
    <w:basedOn w:val="VerbatimChar"/>
    <w:rPr>
      <w:rFonts w:ascii="Consolas" w:cs="Times New Roman (正文 CS 字体)" w:eastAsia="宋体" w:hAnsi="Consolas"/>
      <w:color w:val="BC7A00"/>
      <w:sz w:val="22"/>
      <w:shd w:color="auto" w:fill="auto" w:val="pct5"/>
      <w:lang w:eastAsia="zh-CN"/>
    </w:rPr>
  </w:style>
  <w:style w:customStyle="1" w:styleId="AttributeTok" w:type="character">
    <w:name w:val="AttributeTok"/>
    <w:basedOn w:val="VerbatimChar"/>
    <w:rPr>
      <w:rFonts w:ascii="Consolas" w:cs="Times New Roman (正文 CS 字体)" w:eastAsia="宋体" w:hAnsi="Consolas"/>
      <w:color w:val="7D9029"/>
      <w:sz w:val="22"/>
      <w:shd w:color="auto" w:fill="auto" w:val="pct5"/>
      <w:lang w:eastAsia="zh-CN"/>
    </w:rPr>
  </w:style>
  <w:style w:customStyle="1" w:styleId="RegionMarkerTok" w:type="character">
    <w:name w:val="RegionMarkerTok"/>
    <w:basedOn w:val="VerbatimChar"/>
    <w:rPr>
      <w:rFonts w:ascii="Consolas" w:cs="Times New Roman (正文 CS 字体)" w:eastAsia="宋体" w:hAnsi="Consolas"/>
      <w:color w:themeColor="text1" w:themeTint="BF" w:val="404040"/>
      <w:sz w:val="22"/>
      <w:shd w:color="auto" w:fill="auto" w:val="pct5"/>
      <w:lang w:eastAsia="zh-CN"/>
    </w:rPr>
  </w:style>
  <w:style w:customStyle="1" w:styleId="InformationTok" w:type="character">
    <w:name w:val="InformationTok"/>
    <w:basedOn w:val="VerbatimChar"/>
    <w:rPr>
      <w:rFonts w:ascii="Consolas" w:cs="Times New Roman (正文 CS 字体)" w:eastAsia="宋体" w:hAnsi="Consolas"/>
      <w:b/>
      <w:i/>
      <w:color w:val="60A0B0"/>
      <w:sz w:val="22"/>
      <w:shd w:color="auto" w:fill="auto" w:val="pct5"/>
      <w:lang w:eastAsia="zh-CN"/>
    </w:rPr>
  </w:style>
  <w:style w:customStyle="1" w:styleId="WarningTok" w:type="character">
    <w:name w:val="WarningTok"/>
    <w:basedOn w:val="VerbatimChar"/>
    <w:rPr>
      <w:rFonts w:ascii="Consolas" w:cs="Times New Roman (正文 CS 字体)" w:eastAsia="宋体" w:hAnsi="Consolas"/>
      <w:b/>
      <w:i/>
      <w:color w:val="60A0B0"/>
      <w:sz w:val="22"/>
      <w:shd w:color="auto" w:fill="auto" w:val="pct5"/>
      <w:lang w:eastAsia="zh-CN"/>
    </w:rPr>
  </w:style>
  <w:style w:customStyle="1" w:styleId="AlertTok" w:type="character">
    <w:name w:val="AlertTok"/>
    <w:basedOn w:val="VerbatimChar"/>
    <w:rPr>
      <w:rFonts w:ascii="Consolas" w:cs="Times New Roman (正文 CS 字体)" w:eastAsia="宋体" w:hAnsi="Consolas"/>
      <w:b/>
      <w:color w:val="FF0000"/>
      <w:sz w:val="22"/>
      <w:shd w:color="auto" w:fill="auto" w:val="pct5"/>
      <w:lang w:eastAsia="zh-CN"/>
    </w:rPr>
  </w:style>
  <w:style w:customStyle="1" w:styleId="ErrorTok" w:type="character">
    <w:name w:val="ErrorTok"/>
    <w:basedOn w:val="VerbatimChar"/>
    <w:rPr>
      <w:rFonts w:ascii="Consolas" w:cs="Times New Roman (正文 CS 字体)" w:eastAsia="宋体" w:hAnsi="Consolas"/>
      <w:b/>
      <w:color w:val="FF0000"/>
      <w:sz w:val="22"/>
      <w:shd w:color="auto" w:fill="auto" w:val="pct5"/>
      <w:lang w:eastAsia="zh-CN"/>
    </w:rPr>
  </w:style>
  <w:style w:customStyle="1" w:styleId="NormalTok" w:type="character">
    <w:name w:val="NormalTok"/>
    <w:basedOn w:val="VerbatimChar"/>
    <w:rPr>
      <w:rFonts w:ascii="Consolas" w:cs="Times New Roman (正文 CS 字体)" w:eastAsia="宋体" w:hAnsi="Consolas"/>
      <w:color w:themeColor="text1" w:themeTint="BF" w:val="404040"/>
      <w:sz w:val="22"/>
      <w:shd w:color="auto" w:fill="auto" w:val="pct5"/>
      <w:lang w:eastAsia="zh-CN"/>
    </w:rPr>
  </w:style>
  <w:style w:customStyle="1" w:styleId="Char" w:type="character">
    <w:name w:val="正文文本 Char"/>
    <w:basedOn w:val="a1"/>
    <w:link w:val="a0"/>
    <w:rsid w:val="00743667"/>
    <w:rPr>
      <w:rFonts w:ascii="Times New Roman" w:eastAsia="宋体" w:hAnsi="Times New Roman"/>
      <w:lang w:eastAsia="zh-CN"/>
    </w:rPr>
  </w:style>
  <w:style w:styleId="ad" w:type="paragraph">
    <w:name w:val="header"/>
    <w:basedOn w:val="a"/>
    <w:link w:val="Char1"/>
    <w:rsid w:val="00797A2D"/>
    <w:pPr>
      <w:tabs>
        <w:tab w:pos="4153" w:val="center"/>
        <w:tab w:pos="8306" w:val="right"/>
      </w:tabs>
      <w:snapToGrid w:val="0"/>
      <w:jc w:val="center"/>
    </w:pPr>
    <w:rPr>
      <w:sz w:val="18"/>
      <w:szCs w:val="18"/>
    </w:rPr>
  </w:style>
  <w:style w:customStyle="1" w:styleId="Char1" w:type="character">
    <w:name w:val="页眉 Char"/>
    <w:basedOn w:val="a1"/>
    <w:link w:val="ad"/>
    <w:rsid w:val="00797A2D"/>
    <w:rPr>
      <w:sz w:val="18"/>
      <w:szCs w:val="18"/>
    </w:rPr>
  </w:style>
  <w:style w:styleId="ae" w:type="paragraph">
    <w:name w:val="footer"/>
    <w:basedOn w:val="a"/>
    <w:link w:val="Char2"/>
    <w:uiPriority w:val="99"/>
    <w:rsid w:val="00797A2D"/>
    <w:pPr>
      <w:tabs>
        <w:tab w:pos="4153" w:val="center"/>
        <w:tab w:pos="8306" w:val="right"/>
      </w:tabs>
      <w:snapToGrid w:val="0"/>
    </w:pPr>
    <w:rPr>
      <w:sz w:val="18"/>
      <w:szCs w:val="18"/>
    </w:rPr>
  </w:style>
  <w:style w:customStyle="1" w:styleId="Char2" w:type="character">
    <w:name w:val="页脚 Char"/>
    <w:basedOn w:val="a1"/>
    <w:link w:val="ae"/>
    <w:uiPriority w:val="99"/>
    <w:rsid w:val="00797A2D"/>
    <w:rPr>
      <w:sz w:val="18"/>
      <w:szCs w:val="18"/>
    </w:rPr>
  </w:style>
  <w:style w:customStyle="1" w:styleId="1" w:type="numbering">
    <w:name w:val="列表1"/>
    <w:uiPriority w:val="99"/>
    <w:rsid w:val="00797A2D"/>
    <w:pPr>
      <w:numPr>
        <w:numId w:val="1"/>
      </w:numPr>
    </w:pPr>
  </w:style>
  <w:style w:customStyle="1" w:styleId="2" w:type="numbering">
    <w:name w:val="列表2"/>
    <w:uiPriority w:val="99"/>
    <w:rsid w:val="00D42F07"/>
    <w:pPr>
      <w:numPr>
        <w:numId w:val="2"/>
      </w:numPr>
    </w:pPr>
  </w:style>
  <w:style w:customStyle="1" w:styleId="af" w:type="paragraph">
    <w:name w:val="图片"/>
    <w:basedOn w:val="FirstParagraph"/>
    <w:qFormat/>
    <w:rsid w:val="005D0F42"/>
    <w:pPr>
      <w:keepNext/>
      <w:jc w:val="center"/>
    </w:pPr>
    <w:rPr>
      <w:noProof/>
    </w:rPr>
  </w:style>
  <w:style w:customStyle="1" w:styleId="Compact10071" w:type="paragraph">
    <w:name w:val="样式 Compact + 10 磅 首行缩进:  0.71 厘米"/>
    <w:basedOn w:val="Compact"/>
    <w:rsid w:val="00BF4643"/>
    <w:rPr>
      <w:rFonts w:cs="宋体"/>
      <w:sz w:val="20"/>
      <w:szCs w:val="20"/>
    </w:rPr>
  </w:style>
  <w:style w:customStyle="1" w:styleId="Compact100710" w:type="paragraph">
    <w:name w:val="样式 Compact + 10 磅 加粗 首行缩进:  0.71 厘米"/>
    <w:basedOn w:val="Compact"/>
    <w:rsid w:val="004F42FD"/>
    <w:rPr>
      <w:rFonts w:cs="宋体"/>
      <w:bCs/>
      <w:sz w:val="20"/>
      <w:szCs w:val="20"/>
    </w:rPr>
  </w:style>
  <w:style w:customStyle="1" w:styleId="img" w:type="paragraph">
    <w:name w:val="img"/>
    <w:basedOn w:val="a"/>
    <w:qFormat/>
    <w:rsid w:val="00C22998"/>
    <w:pPr>
      <w:jc w:val="center"/>
    </w:pPr>
    <w:rPr>
      <w:lang w:eastAsia="zh-CN"/>
    </w:rPr>
  </w:style>
  <w:style w:styleId="af0" w:type="paragraph">
    <w:name w:val="Balloon Text"/>
    <w:basedOn w:val="a"/>
    <w:link w:val="Char3"/>
    <w:rsid w:val="004A5F37"/>
    <w:pPr>
      <w:spacing w:line="240" w:lineRule="auto"/>
    </w:pPr>
    <w:rPr>
      <w:sz w:val="18"/>
      <w:szCs w:val="18"/>
    </w:rPr>
  </w:style>
  <w:style w:customStyle="1" w:styleId="Char3" w:type="character">
    <w:name w:val="批注框文本 Char"/>
    <w:basedOn w:val="a1"/>
    <w:link w:val="af0"/>
    <w:rsid w:val="004A5F37"/>
    <w:rPr>
      <w:rFonts w:ascii="Times New Roman" w:eastAsia="宋体" w:hAnsi="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Id="rId9" Target="footer1.xml" Type="http://schemas.openxmlformats.org/officeDocument/2006/relationships/footer"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Pages>
  <Words>465</Words>
  <Characters>2655</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2025-05-11T20:44:32Z</dcterms:created>
  <dcterms:modified xsi:type="dcterms:W3CDTF">2025-05-11T20:44:32Z</dcterms:modified>
</cp:coreProperties>
</file>

<file path=docProps/custom.xml><?xml version="1.0" encoding="utf-8"?>
<Properties xmlns="http://schemas.openxmlformats.org/officeDocument/2006/custom-properties" xmlns:vt="http://schemas.openxmlformats.org/officeDocument/2006/docPropsVTypes"/>
</file>